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C4" w:rsidRDefault="001A45C4"/>
    <w:p w:rsidR="001A45C4" w:rsidRDefault="001A45C4">
      <w:pPr>
        <w:rPr>
          <w:b/>
          <w:u w:val="single"/>
        </w:rPr>
      </w:pPr>
      <w:r>
        <w:rPr>
          <w:b/>
          <w:u w:val="single"/>
        </w:rPr>
        <w:t>INTRODUCTION</w:t>
      </w:r>
    </w:p>
    <w:p w:rsidR="00EC49F5" w:rsidRDefault="001A45C4">
      <w:r>
        <w:t xml:space="preserve">There are a large number of calculated area fields in the ARCHIBUS Space Management module, many of which are unused in the university’s current installation.  However, given the number of area fields that </w:t>
      </w:r>
      <w:r>
        <w:rPr>
          <w:i/>
        </w:rPr>
        <w:t xml:space="preserve">are </w:t>
      </w:r>
      <w:r>
        <w:t>used, we decided to put together this reference document that attempts to better explain the different area calculations in use at this time.  The first part of the document contains boiler-plate, out-of-the-box calculation equations that we assume come directly from ARCHIBUS field definitions</w:t>
      </w:r>
      <w:r w:rsidR="00AB0F2A">
        <w:t xml:space="preserve">.  The rest of the document contains a more robust exploration of the fields as they exist in our instance today, as well as </w:t>
      </w:r>
      <w:r w:rsidR="00C06839">
        <w:t>some examples, cheat sheets, etc.</w:t>
      </w:r>
      <w:r w:rsidR="00CF5BA1">
        <w:t xml:space="preserve">, all </w:t>
      </w:r>
      <w:r w:rsidR="00C06839">
        <w:t>produced by Laurie Rees.</w:t>
      </w:r>
      <w:r>
        <w:t xml:space="preserve">  </w:t>
      </w:r>
    </w:p>
    <w:p w:rsidR="00CF5BA1" w:rsidRDefault="00CF5BA1"/>
    <w:p w:rsidR="00CF5BA1" w:rsidRPr="00CF5BA1" w:rsidRDefault="00CF5BA1">
      <w:r>
        <w:rPr>
          <w:b/>
          <w:u w:val="single"/>
        </w:rPr>
        <w:t>ARCHIBUS DEFINITIONS</w:t>
      </w:r>
    </w:p>
    <w:p w:rsidR="00946E68" w:rsidRDefault="00526925">
      <w:r>
        <w:t xml:space="preserve">The following definitions were provided by Michael Shearin, Project Manager with BRG.  According to Michael, these are the out-of-the-box (OOTB) calculations provided by the ARCHIBUS software.  We do not believe there were any </w:t>
      </w:r>
      <w:r w:rsidRPr="00526925">
        <w:rPr>
          <w:i/>
        </w:rPr>
        <w:t>calculation</w:t>
      </w:r>
      <w:r>
        <w:t xml:space="preserve"> modifications made to the UT implementation, though certain </w:t>
      </w:r>
      <w:r w:rsidRPr="00526925">
        <w:rPr>
          <w:i/>
        </w:rPr>
        <w:t>terminology</w:t>
      </w:r>
      <w:r>
        <w:t xml:space="preserve"> may have been changed.</w:t>
      </w:r>
    </w:p>
    <w:p w:rsidR="00526925" w:rsidRPr="00946E68" w:rsidRDefault="00526925" w:rsidP="00946E68">
      <w:pPr>
        <w:pStyle w:val="ListParagraph"/>
        <w:numPr>
          <w:ilvl w:val="1"/>
          <w:numId w:val="5"/>
        </w:numPr>
        <w:ind w:left="360"/>
        <w:rPr>
          <w:b/>
        </w:rPr>
      </w:pPr>
      <w:r w:rsidRPr="00946E68">
        <w:rPr>
          <w:b/>
        </w:rPr>
        <w:t>Building Assignable</w:t>
      </w:r>
      <w:r w:rsidR="00727A87">
        <w:rPr>
          <w:b/>
        </w:rPr>
        <w:t xml:space="preserve"> Area </w:t>
      </w:r>
      <w:r w:rsidRPr="00946E68">
        <w:rPr>
          <w:b/>
        </w:rPr>
        <w:t>(</w:t>
      </w:r>
      <w:r w:rsidR="00946E68" w:rsidRPr="00946E68">
        <w:rPr>
          <w:b/>
        </w:rPr>
        <w:t>t</w:t>
      </w:r>
      <w:r w:rsidRPr="00946E68">
        <w:rPr>
          <w:b/>
        </w:rPr>
        <w:t xml:space="preserve">his is </w:t>
      </w:r>
      <w:r w:rsidR="00946E68" w:rsidRPr="00946E68">
        <w:rPr>
          <w:b/>
        </w:rPr>
        <w:t>“</w:t>
      </w:r>
      <w:r w:rsidRPr="00946E68">
        <w:rPr>
          <w:b/>
        </w:rPr>
        <w:t>Usable Area</w:t>
      </w:r>
      <w:r w:rsidR="00946E68" w:rsidRPr="00946E68">
        <w:rPr>
          <w:b/>
        </w:rPr>
        <w:t>”</w:t>
      </w:r>
      <w:r w:rsidRPr="00946E68">
        <w:rPr>
          <w:b/>
        </w:rPr>
        <w:t xml:space="preserve"> OOTB, but </w:t>
      </w:r>
      <w:r w:rsidR="00946E68" w:rsidRPr="00946E68">
        <w:rPr>
          <w:b/>
        </w:rPr>
        <w:t xml:space="preserve">was </w:t>
      </w:r>
      <w:r w:rsidRPr="00946E68">
        <w:rPr>
          <w:b/>
        </w:rPr>
        <w:t xml:space="preserve">changed </w:t>
      </w:r>
      <w:r w:rsidR="00946E68" w:rsidRPr="00946E68">
        <w:rPr>
          <w:b/>
        </w:rPr>
        <w:t xml:space="preserve">to suit </w:t>
      </w:r>
      <w:r w:rsidRPr="00946E68">
        <w:rPr>
          <w:b/>
        </w:rPr>
        <w:t xml:space="preserve">UT </w:t>
      </w:r>
      <w:r w:rsidR="00946E68" w:rsidRPr="00946E68">
        <w:rPr>
          <w:b/>
        </w:rPr>
        <w:t>terminology</w:t>
      </w:r>
      <w:r w:rsidRPr="00946E68">
        <w:rPr>
          <w:b/>
        </w:rPr>
        <w:t>)</w:t>
      </w:r>
    </w:p>
    <w:p w:rsidR="00526925" w:rsidRPr="00946E68" w:rsidRDefault="00526925" w:rsidP="00946E68">
      <w:pPr>
        <w:pStyle w:val="ListParagraph"/>
        <w:numPr>
          <w:ilvl w:val="2"/>
          <w:numId w:val="5"/>
        </w:numPr>
        <w:ind w:left="1080"/>
      </w:pPr>
      <w:r w:rsidRPr="00946E68">
        <w:t>Rolled up from Floor Usable Area</w:t>
      </w:r>
      <w:r w:rsidR="008977C7">
        <w:t> </w:t>
      </w:r>
    </w:p>
    <w:p w:rsidR="00526925" w:rsidRPr="00946E68" w:rsidRDefault="00526925" w:rsidP="00946E68">
      <w:pPr>
        <w:pStyle w:val="ListParagraph"/>
        <w:numPr>
          <w:ilvl w:val="2"/>
          <w:numId w:val="5"/>
        </w:numPr>
        <w:ind w:left="1080"/>
      </w:pPr>
      <w:r w:rsidRPr="00946E68">
        <w:t>Floor Usable Area = Floor Rentable – Floor Service Area</w:t>
      </w:r>
    </w:p>
    <w:p w:rsidR="00526925" w:rsidRPr="00946E68" w:rsidRDefault="00526925" w:rsidP="00946E68">
      <w:pPr>
        <w:pStyle w:val="ListParagraph"/>
        <w:numPr>
          <w:ilvl w:val="2"/>
          <w:numId w:val="5"/>
        </w:numPr>
        <w:ind w:left="1080"/>
      </w:pPr>
      <w:r w:rsidRPr="00946E68">
        <w:t>Floor Rentable = Floor Internal Gross – Floor Vertical Penetration</w:t>
      </w:r>
    </w:p>
    <w:p w:rsidR="00946E68" w:rsidRPr="00526925" w:rsidRDefault="00946E68" w:rsidP="00946E68">
      <w:pPr>
        <w:pStyle w:val="ListParagraph"/>
        <w:rPr>
          <w:rFonts w:asciiTheme="minorHAnsi" w:hAnsiTheme="minorHAnsi"/>
        </w:rPr>
      </w:pPr>
    </w:p>
    <w:p w:rsidR="00526925" w:rsidRPr="00946E68" w:rsidRDefault="00526925" w:rsidP="00946E68">
      <w:pPr>
        <w:pStyle w:val="ListParagraph"/>
        <w:numPr>
          <w:ilvl w:val="1"/>
          <w:numId w:val="5"/>
        </w:numPr>
        <w:ind w:left="360"/>
        <w:rPr>
          <w:b/>
        </w:rPr>
      </w:pPr>
      <w:r w:rsidRPr="00946E68">
        <w:rPr>
          <w:b/>
        </w:rPr>
        <w:t>Building Total Ro</w:t>
      </w:r>
      <w:r w:rsidR="00946E68">
        <w:rPr>
          <w:b/>
        </w:rPr>
        <w:t>om</w:t>
      </w:r>
      <w:r w:rsidR="00727A87">
        <w:rPr>
          <w:b/>
        </w:rPr>
        <w:t xml:space="preserve"> Area</w:t>
      </w:r>
      <w:r w:rsidR="00946E68">
        <w:rPr>
          <w:b/>
        </w:rPr>
        <w:t xml:space="preserve"> = SUM</w:t>
      </w:r>
      <w:r w:rsidR="002922AB">
        <w:rPr>
          <w:b/>
        </w:rPr>
        <w:t xml:space="preserve"> of </w:t>
      </w:r>
      <w:r w:rsidR="00946E68">
        <w:rPr>
          <w:b/>
        </w:rPr>
        <w:t>Floor Total Area</w:t>
      </w:r>
    </w:p>
    <w:p w:rsidR="00526925" w:rsidRPr="00946E68" w:rsidRDefault="00526925" w:rsidP="00946E68">
      <w:pPr>
        <w:pStyle w:val="ListParagraph"/>
        <w:numPr>
          <w:ilvl w:val="2"/>
          <w:numId w:val="5"/>
        </w:numPr>
        <w:ind w:left="1080"/>
      </w:pPr>
      <w:r w:rsidRPr="00946E68">
        <w:t>Floor Total Area = SUM</w:t>
      </w:r>
      <w:r w:rsidR="00946E68">
        <w:t xml:space="preserve">: </w:t>
      </w:r>
      <w:r w:rsidRPr="00946E68">
        <w:t>Room</w:t>
      </w:r>
      <w:r w:rsidR="00946E68">
        <w:t xml:space="preserve"> Total </w:t>
      </w:r>
      <w:r w:rsidRPr="00946E68">
        <w:t>Area</w:t>
      </w:r>
      <w:r w:rsidR="00946E68">
        <w:t xml:space="preserve"> (i.e. the sum of the </w:t>
      </w:r>
      <w:r w:rsidR="00946E68" w:rsidRPr="00946E68">
        <w:t>rm.area</w:t>
      </w:r>
      <w:r w:rsidR="00946E68">
        <w:t xml:space="preserve"> field for all rooms on a floor)</w:t>
      </w:r>
    </w:p>
    <w:p w:rsidR="00946E68" w:rsidRPr="00526925" w:rsidRDefault="00946E68" w:rsidP="00946E68">
      <w:pPr>
        <w:pStyle w:val="ListParagraph"/>
        <w:rPr>
          <w:rFonts w:asciiTheme="minorHAnsi" w:hAnsiTheme="minorHAnsi"/>
        </w:rPr>
      </w:pPr>
    </w:p>
    <w:p w:rsidR="00526925" w:rsidRPr="00946E68" w:rsidRDefault="00526925" w:rsidP="00946E68">
      <w:pPr>
        <w:pStyle w:val="ListParagraph"/>
        <w:numPr>
          <w:ilvl w:val="1"/>
          <w:numId w:val="5"/>
        </w:numPr>
        <w:ind w:left="360"/>
        <w:rPr>
          <w:b/>
        </w:rPr>
      </w:pPr>
      <w:r w:rsidRPr="00946E68">
        <w:rPr>
          <w:b/>
        </w:rPr>
        <w:t>Building Total Occupiable</w:t>
      </w:r>
      <w:r w:rsidR="00727A87">
        <w:rPr>
          <w:b/>
        </w:rPr>
        <w:t xml:space="preserve"> Area</w:t>
      </w:r>
      <w:r w:rsidR="00946E68">
        <w:rPr>
          <w:b/>
        </w:rPr>
        <w:t xml:space="preserve"> = </w:t>
      </w:r>
      <w:r w:rsidRPr="00946E68">
        <w:rPr>
          <w:b/>
        </w:rPr>
        <w:t>SUM</w:t>
      </w:r>
      <w:r w:rsidR="002922AB">
        <w:rPr>
          <w:b/>
        </w:rPr>
        <w:t xml:space="preserve"> of </w:t>
      </w:r>
      <w:r w:rsidRPr="00946E68">
        <w:rPr>
          <w:b/>
        </w:rPr>
        <w:t>Floor</w:t>
      </w:r>
      <w:r w:rsidR="002922AB">
        <w:rPr>
          <w:b/>
        </w:rPr>
        <w:t xml:space="preserve"> Occupiable Area</w:t>
      </w:r>
    </w:p>
    <w:p w:rsidR="00526925" w:rsidRPr="00946E68" w:rsidRDefault="00526925" w:rsidP="00946E68">
      <w:pPr>
        <w:pStyle w:val="ListParagraph"/>
        <w:numPr>
          <w:ilvl w:val="2"/>
          <w:numId w:val="5"/>
        </w:numPr>
        <w:ind w:left="1080"/>
      </w:pPr>
      <w:r w:rsidRPr="00946E68">
        <w:t>Floor Occupiable Area = SUM (Room Area) where Room Category is Occupiable</w:t>
      </w:r>
    </w:p>
    <w:p w:rsidR="00946E68" w:rsidRPr="00526925" w:rsidRDefault="00946E68" w:rsidP="00946E68">
      <w:pPr>
        <w:pStyle w:val="ListParagraph"/>
        <w:rPr>
          <w:rFonts w:asciiTheme="minorHAnsi" w:hAnsiTheme="minorHAnsi"/>
        </w:rPr>
      </w:pPr>
    </w:p>
    <w:p w:rsidR="00526925" w:rsidRPr="00946E68" w:rsidRDefault="00526925" w:rsidP="00946E68">
      <w:pPr>
        <w:pStyle w:val="ListParagraph"/>
        <w:numPr>
          <w:ilvl w:val="1"/>
          <w:numId w:val="5"/>
        </w:numPr>
        <w:ind w:left="360"/>
        <w:rPr>
          <w:b/>
        </w:rPr>
      </w:pPr>
      <w:r w:rsidRPr="00946E68">
        <w:rPr>
          <w:b/>
        </w:rPr>
        <w:t>Building Total Non-Occupiable</w:t>
      </w:r>
      <w:r w:rsidR="00727A87">
        <w:rPr>
          <w:b/>
        </w:rPr>
        <w:t xml:space="preserve"> Area</w:t>
      </w:r>
      <w:r w:rsidR="00946E68">
        <w:rPr>
          <w:b/>
        </w:rPr>
        <w:t xml:space="preserve"> = </w:t>
      </w:r>
      <w:r w:rsidR="002922AB">
        <w:rPr>
          <w:b/>
        </w:rPr>
        <w:t>SUM of Floor Non-Occupiable Area</w:t>
      </w:r>
    </w:p>
    <w:p w:rsidR="00526925" w:rsidRPr="00946E68" w:rsidRDefault="00526925" w:rsidP="00946E68">
      <w:pPr>
        <w:pStyle w:val="ListParagraph"/>
        <w:numPr>
          <w:ilvl w:val="2"/>
          <w:numId w:val="5"/>
        </w:numPr>
        <w:ind w:left="1080"/>
      </w:pPr>
      <w:r w:rsidRPr="00946E68">
        <w:t>Floor Non O</w:t>
      </w:r>
      <w:r w:rsidR="008977C7">
        <w:t xml:space="preserve">ccupiable Area = SUM of Room Area </w:t>
      </w:r>
      <w:r w:rsidRPr="00946E68">
        <w:t>where Room Category is Non-Occupiable</w:t>
      </w:r>
    </w:p>
    <w:p w:rsidR="00946E68" w:rsidRPr="00526925" w:rsidRDefault="00946E68" w:rsidP="00946E68">
      <w:pPr>
        <w:pStyle w:val="ListParagraph"/>
        <w:rPr>
          <w:rFonts w:asciiTheme="minorHAnsi" w:hAnsiTheme="minorHAnsi"/>
        </w:rPr>
      </w:pPr>
    </w:p>
    <w:p w:rsidR="00526925" w:rsidRPr="00946E68" w:rsidRDefault="00526925" w:rsidP="00946E68">
      <w:pPr>
        <w:pStyle w:val="ListParagraph"/>
        <w:numPr>
          <w:ilvl w:val="1"/>
          <w:numId w:val="5"/>
        </w:numPr>
        <w:ind w:left="360"/>
        <w:rPr>
          <w:b/>
        </w:rPr>
      </w:pPr>
      <w:r w:rsidRPr="00946E68">
        <w:rPr>
          <w:b/>
        </w:rPr>
        <w:t>Building Total Room Department</w:t>
      </w:r>
      <w:r w:rsidR="00727A87">
        <w:rPr>
          <w:b/>
        </w:rPr>
        <w:t xml:space="preserve"> Area</w:t>
      </w:r>
    </w:p>
    <w:p w:rsidR="00526925" w:rsidRPr="00946E68" w:rsidRDefault="00526925" w:rsidP="00946E68">
      <w:pPr>
        <w:pStyle w:val="ListParagraph"/>
        <w:numPr>
          <w:ilvl w:val="2"/>
          <w:numId w:val="5"/>
        </w:numPr>
        <w:ind w:left="1080"/>
      </w:pPr>
      <w:r w:rsidRPr="00946E68">
        <w:t>Rolled up from the Floor’s Total Room Department Area</w:t>
      </w:r>
    </w:p>
    <w:p w:rsidR="00526925" w:rsidRPr="00946E68" w:rsidRDefault="00526925" w:rsidP="00946E68">
      <w:pPr>
        <w:pStyle w:val="ListParagraph"/>
        <w:numPr>
          <w:ilvl w:val="2"/>
          <w:numId w:val="5"/>
        </w:numPr>
        <w:ind w:left="1080"/>
      </w:pPr>
      <w:r w:rsidRPr="00946E68">
        <w:t>Floor Total Room Department Area = Sum</w:t>
      </w:r>
      <w:r w:rsidR="008977C7">
        <w:t xml:space="preserve"> of </w:t>
      </w:r>
      <w:r w:rsidRPr="00946E68">
        <w:t>Room Area where Department ID</w:t>
      </w:r>
      <w:r w:rsidR="008977C7">
        <w:t xml:space="preserve"> </w:t>
      </w:r>
      <w:r w:rsidRPr="00946E68">
        <w:t>(</w:t>
      </w:r>
      <w:r w:rsidR="008977C7">
        <w:t xml:space="preserve">i.e. </w:t>
      </w:r>
      <w:r w:rsidRPr="00946E68">
        <w:t>dp_id) is NOT NULL.</w:t>
      </w:r>
    </w:p>
    <w:p w:rsidR="00946E68" w:rsidRPr="00526925" w:rsidRDefault="00946E68" w:rsidP="00946E68">
      <w:pPr>
        <w:pStyle w:val="ListParagraph"/>
        <w:rPr>
          <w:rFonts w:asciiTheme="minorHAnsi" w:hAnsiTheme="minorHAnsi"/>
        </w:rPr>
      </w:pPr>
    </w:p>
    <w:p w:rsidR="00B133A2" w:rsidRDefault="00526925" w:rsidP="00946E68">
      <w:pPr>
        <w:pStyle w:val="ListParagraph"/>
        <w:numPr>
          <w:ilvl w:val="1"/>
          <w:numId w:val="5"/>
        </w:numPr>
        <w:ind w:left="360"/>
        <w:rPr>
          <w:b/>
        </w:rPr>
      </w:pPr>
      <w:r w:rsidRPr="00946E68">
        <w:rPr>
          <w:b/>
        </w:rPr>
        <w:t>Building Total Room Common</w:t>
      </w:r>
      <w:r w:rsidR="00727A87">
        <w:rPr>
          <w:b/>
        </w:rPr>
        <w:t xml:space="preserve"> Area = </w:t>
      </w:r>
      <w:r w:rsidRPr="00946E68">
        <w:rPr>
          <w:b/>
        </w:rPr>
        <w:t>SUM</w:t>
      </w:r>
      <w:r w:rsidR="002922AB">
        <w:rPr>
          <w:b/>
        </w:rPr>
        <w:t xml:space="preserve"> of </w:t>
      </w:r>
      <w:r w:rsidRPr="00946E68">
        <w:rPr>
          <w:b/>
        </w:rPr>
        <w:t xml:space="preserve">Room Area where PRORATE </w:t>
      </w:r>
      <w:r w:rsidR="002922AB">
        <w:rPr>
          <w:b/>
        </w:rPr>
        <w:t>=</w:t>
      </w:r>
      <w:r w:rsidRPr="00946E68">
        <w:rPr>
          <w:b/>
        </w:rPr>
        <w:t xml:space="preserve"> ‘BUILDING’</w:t>
      </w:r>
    </w:p>
    <w:p w:rsidR="00B133A2" w:rsidRDefault="00B133A2">
      <w:pPr>
        <w:rPr>
          <w:rFonts w:ascii="Calibri" w:hAnsi="Calibri" w:cs="Times New Roman"/>
          <w:b/>
        </w:rPr>
      </w:pPr>
      <w:r>
        <w:rPr>
          <w:b/>
        </w:rPr>
        <w:br w:type="page"/>
      </w:r>
    </w:p>
    <w:p w:rsidR="00CF5BA1" w:rsidRDefault="00CF5BA1" w:rsidP="00CF5BA1">
      <w:pPr>
        <w:rPr>
          <w:b/>
          <w:u w:val="single"/>
        </w:rPr>
      </w:pPr>
      <w:r>
        <w:rPr>
          <w:b/>
          <w:u w:val="single"/>
        </w:rPr>
        <w:lastRenderedPageBreak/>
        <w:t>UT</w:t>
      </w:r>
      <w:r w:rsidR="008F0DE5">
        <w:rPr>
          <w:b/>
          <w:u w:val="single"/>
        </w:rPr>
        <w:t xml:space="preserve"> DOCUMENTATION</w:t>
      </w:r>
    </w:p>
    <w:p w:rsidR="00DE7383" w:rsidRDefault="00DE7383" w:rsidP="00CF5BA1">
      <w:pPr>
        <w:rPr>
          <w:b/>
        </w:rPr>
      </w:pPr>
      <w:r>
        <w:rPr>
          <w:b/>
        </w:rPr>
        <w:t>Area Chart:</w:t>
      </w:r>
    </w:p>
    <w:p w:rsidR="003A6CBA" w:rsidRDefault="008F0DE5" w:rsidP="00CF5BA1">
      <w:pPr>
        <w:rPr>
          <w:b/>
          <w:u w:val="single"/>
        </w:rPr>
      </w:pPr>
      <w:r>
        <w:t>The chart below is one that Laurie put together for our reference purposes.  It shows visually the relationship of areas using ARCHIBUS terms.</w:t>
      </w:r>
    </w:p>
    <w:tbl>
      <w:tblPr>
        <w:tblStyle w:val="TableGrid"/>
        <w:tblW w:w="0" w:type="auto"/>
        <w:tblLook w:val="04A0" w:firstRow="1" w:lastRow="0" w:firstColumn="1" w:lastColumn="0" w:noHBand="0" w:noVBand="1"/>
      </w:tblPr>
      <w:tblGrid>
        <w:gridCol w:w="3509"/>
        <w:gridCol w:w="1297"/>
        <w:gridCol w:w="2385"/>
        <w:gridCol w:w="2385"/>
      </w:tblGrid>
      <w:tr w:rsidR="003A6CBA" w:rsidTr="003A6CBA">
        <w:tc>
          <w:tcPr>
            <w:tcW w:w="9576" w:type="dxa"/>
            <w:gridSpan w:val="4"/>
            <w:shd w:val="clear" w:color="auto" w:fill="CCC0D9" w:themeFill="accent4" w:themeFillTint="66"/>
            <w:vAlign w:val="center"/>
          </w:tcPr>
          <w:p w:rsidR="003A6CBA" w:rsidRDefault="003A6CBA" w:rsidP="003A6CBA">
            <w:pPr>
              <w:jc w:val="center"/>
              <w:rPr>
                <w:rFonts w:ascii="Tahoma" w:eastAsia="Times New Roman" w:hAnsi="Tahoma" w:cs="Tahoma"/>
                <w:i/>
                <w:iCs/>
                <w:color w:val="000000"/>
                <w:sz w:val="24"/>
                <w:szCs w:val="24"/>
              </w:rPr>
            </w:pPr>
          </w:p>
          <w:p w:rsidR="003A6CBA" w:rsidRDefault="003A6CBA" w:rsidP="003A6CBA">
            <w:pPr>
              <w:jc w:val="center"/>
              <w:rPr>
                <w:rFonts w:ascii="Tahoma" w:eastAsia="Times New Roman" w:hAnsi="Tahoma" w:cs="Tahoma"/>
                <w:color w:val="000000"/>
                <w:sz w:val="24"/>
                <w:szCs w:val="24"/>
              </w:rPr>
            </w:pPr>
            <w:r w:rsidRPr="003A6CBA">
              <w:rPr>
                <w:rFonts w:ascii="Tahoma" w:eastAsia="Times New Roman" w:hAnsi="Tahoma" w:cs="Tahoma"/>
                <w:i/>
                <w:iCs/>
                <w:color w:val="000000"/>
                <w:sz w:val="24"/>
                <w:szCs w:val="24"/>
              </w:rPr>
              <w:t>Internal Gross Area</w:t>
            </w:r>
            <w:r w:rsidRPr="003A6CBA">
              <w:rPr>
                <w:rFonts w:ascii="Tahoma" w:eastAsia="Times New Roman" w:hAnsi="Tahoma" w:cs="Tahoma"/>
                <w:color w:val="000000"/>
                <w:sz w:val="24"/>
                <w:szCs w:val="24"/>
              </w:rPr>
              <w:t xml:space="preserve"> (area_gross_int)</w:t>
            </w:r>
          </w:p>
          <w:p w:rsidR="003A6CBA" w:rsidRDefault="003A6CBA" w:rsidP="003A6CBA">
            <w:pPr>
              <w:jc w:val="center"/>
              <w:rPr>
                <w:b/>
                <w:u w:val="single"/>
              </w:rPr>
            </w:pPr>
          </w:p>
        </w:tc>
      </w:tr>
      <w:tr w:rsidR="003A6CBA" w:rsidTr="003A6CBA">
        <w:tc>
          <w:tcPr>
            <w:tcW w:w="9576" w:type="dxa"/>
            <w:gridSpan w:val="4"/>
            <w:shd w:val="clear" w:color="auto" w:fill="CCC0D9" w:themeFill="accent4" w:themeFillTint="66"/>
            <w:vAlign w:val="center"/>
          </w:tcPr>
          <w:p w:rsidR="003A6CBA" w:rsidRDefault="003A6CBA" w:rsidP="003A6CBA">
            <w:pPr>
              <w:jc w:val="center"/>
              <w:rPr>
                <w:rFonts w:ascii="Tahoma" w:eastAsia="Times New Roman" w:hAnsi="Tahoma" w:cs="Tahoma"/>
                <w:i/>
                <w:iCs/>
                <w:color w:val="000000"/>
                <w:sz w:val="24"/>
                <w:szCs w:val="24"/>
              </w:rPr>
            </w:pPr>
          </w:p>
          <w:p w:rsidR="003A6CBA" w:rsidRDefault="003A6CBA" w:rsidP="003A6CBA">
            <w:pPr>
              <w:jc w:val="center"/>
              <w:rPr>
                <w:rFonts w:ascii="Tahoma" w:eastAsia="Times New Roman" w:hAnsi="Tahoma" w:cs="Tahoma"/>
                <w:color w:val="000000"/>
                <w:sz w:val="24"/>
                <w:szCs w:val="24"/>
              </w:rPr>
            </w:pPr>
            <w:r>
              <w:rPr>
                <w:rFonts w:ascii="Tahoma" w:eastAsia="Times New Roman" w:hAnsi="Tahoma" w:cs="Tahoma"/>
                <w:i/>
                <w:iCs/>
                <w:color w:val="000000"/>
                <w:sz w:val="24"/>
                <w:szCs w:val="24"/>
              </w:rPr>
              <w:t>N</w:t>
            </w:r>
            <w:r w:rsidRPr="003A6CBA">
              <w:rPr>
                <w:rFonts w:ascii="Tahoma" w:eastAsia="Times New Roman" w:hAnsi="Tahoma" w:cs="Tahoma"/>
                <w:i/>
                <w:iCs/>
                <w:color w:val="000000"/>
                <w:sz w:val="24"/>
                <w:szCs w:val="24"/>
              </w:rPr>
              <w:t>et Useable Area</w:t>
            </w:r>
            <w:r w:rsidRPr="003A6CBA">
              <w:rPr>
                <w:rFonts w:ascii="Tahoma" w:eastAsia="Times New Roman" w:hAnsi="Tahoma" w:cs="Tahoma"/>
                <w:color w:val="000000"/>
                <w:sz w:val="24"/>
                <w:szCs w:val="24"/>
              </w:rPr>
              <w:t xml:space="preserve"> (area_rentable)</w:t>
            </w:r>
          </w:p>
          <w:p w:rsidR="003A6CBA" w:rsidRDefault="003A6CBA" w:rsidP="003A6CBA">
            <w:pPr>
              <w:jc w:val="center"/>
              <w:rPr>
                <w:b/>
                <w:u w:val="single"/>
              </w:rPr>
            </w:pPr>
          </w:p>
        </w:tc>
      </w:tr>
      <w:tr w:rsidR="003A6CBA" w:rsidTr="003A6CBA">
        <w:tc>
          <w:tcPr>
            <w:tcW w:w="7182" w:type="dxa"/>
            <w:gridSpan w:val="3"/>
            <w:shd w:val="clear" w:color="auto" w:fill="92CDDC" w:themeFill="accent5" w:themeFillTint="99"/>
            <w:vAlign w:val="center"/>
          </w:tcPr>
          <w:p w:rsidR="003A6CBA" w:rsidRDefault="003A6CBA" w:rsidP="003A6CBA">
            <w:pPr>
              <w:jc w:val="center"/>
              <w:rPr>
                <w:b/>
                <w:u w:val="single"/>
              </w:rPr>
            </w:pPr>
          </w:p>
          <w:p w:rsidR="008F0DE5" w:rsidRDefault="008F0DE5" w:rsidP="003A6CBA">
            <w:pPr>
              <w:jc w:val="center"/>
              <w:rPr>
                <w:b/>
                <w:u w:val="single"/>
              </w:rPr>
            </w:pPr>
          </w:p>
          <w:p w:rsidR="003A6CBA" w:rsidRDefault="003A6CBA" w:rsidP="003A6CBA">
            <w:pPr>
              <w:jc w:val="center"/>
              <w:rPr>
                <w:b/>
                <w:u w:val="single"/>
              </w:rPr>
            </w:pPr>
            <w:r w:rsidRPr="003A6CBA">
              <w:rPr>
                <w:rFonts w:ascii="Tahoma" w:eastAsia="Times New Roman" w:hAnsi="Tahoma" w:cs="Tahoma"/>
                <w:color w:val="000000"/>
                <w:sz w:val="24"/>
                <w:szCs w:val="24"/>
              </w:rPr>
              <w:t>Total Room Area</w:t>
            </w:r>
          </w:p>
          <w:p w:rsidR="003A6CBA" w:rsidRDefault="003A6CBA" w:rsidP="003A6CBA">
            <w:pPr>
              <w:jc w:val="center"/>
            </w:pPr>
          </w:p>
          <w:p w:rsidR="008F0DE5" w:rsidRPr="003A6CBA" w:rsidRDefault="008F0DE5" w:rsidP="003A6CBA">
            <w:pPr>
              <w:jc w:val="center"/>
            </w:pPr>
          </w:p>
        </w:tc>
        <w:tc>
          <w:tcPr>
            <w:tcW w:w="2394" w:type="dxa"/>
            <w:vMerge w:val="restart"/>
            <w:shd w:val="clear" w:color="auto" w:fill="F2DBDB" w:themeFill="accent2" w:themeFillTint="33"/>
            <w:vAlign w:val="center"/>
          </w:tcPr>
          <w:p w:rsidR="003A6CBA" w:rsidRDefault="003A6CBA" w:rsidP="003A6CBA">
            <w:pPr>
              <w:jc w:val="center"/>
              <w:rPr>
                <w:rFonts w:ascii="Tahoma" w:eastAsia="Times New Roman" w:hAnsi="Tahoma" w:cs="Tahoma"/>
                <w:i/>
                <w:iCs/>
                <w:color w:val="000000"/>
                <w:sz w:val="24"/>
                <w:szCs w:val="24"/>
              </w:rPr>
            </w:pPr>
          </w:p>
          <w:p w:rsidR="003A6CBA" w:rsidRDefault="003A6CBA" w:rsidP="003A6CBA">
            <w:pPr>
              <w:jc w:val="center"/>
              <w:rPr>
                <w:rFonts w:ascii="Tahoma" w:eastAsia="Times New Roman" w:hAnsi="Tahoma" w:cs="Tahoma"/>
                <w:color w:val="000000"/>
                <w:sz w:val="24"/>
                <w:szCs w:val="24"/>
              </w:rPr>
            </w:pPr>
            <w:r w:rsidRPr="003A6CBA">
              <w:rPr>
                <w:rFonts w:ascii="Tahoma" w:eastAsia="Times New Roman" w:hAnsi="Tahoma" w:cs="Tahoma"/>
                <w:i/>
                <w:iCs/>
                <w:color w:val="000000"/>
                <w:sz w:val="24"/>
                <w:szCs w:val="24"/>
              </w:rPr>
              <w:t>Remaining</w:t>
            </w:r>
            <w:r w:rsidRPr="003A6CBA">
              <w:rPr>
                <w:rFonts w:ascii="Tahoma" w:eastAsia="Times New Roman" w:hAnsi="Tahoma" w:cs="Tahoma"/>
                <w:color w:val="000000"/>
                <w:sz w:val="24"/>
                <w:szCs w:val="24"/>
              </w:rPr>
              <w:br/>
              <w:t>(Structural)</w:t>
            </w:r>
          </w:p>
          <w:p w:rsidR="003A6CBA" w:rsidRDefault="003A6CBA" w:rsidP="003A6CBA">
            <w:pPr>
              <w:jc w:val="center"/>
              <w:rPr>
                <w:b/>
                <w:u w:val="single"/>
              </w:rPr>
            </w:pPr>
          </w:p>
        </w:tc>
      </w:tr>
      <w:tr w:rsidR="003A6CBA" w:rsidTr="003A6CBA">
        <w:tc>
          <w:tcPr>
            <w:tcW w:w="4788" w:type="dxa"/>
            <w:gridSpan w:val="2"/>
            <w:shd w:val="clear" w:color="auto" w:fill="B6DDE8" w:themeFill="accent5" w:themeFillTint="66"/>
            <w:vAlign w:val="center"/>
          </w:tcPr>
          <w:p w:rsidR="003A6CBA" w:rsidRDefault="003A6CBA" w:rsidP="003A6CBA">
            <w:pPr>
              <w:jc w:val="center"/>
              <w:rPr>
                <w:b/>
                <w:u w:val="single"/>
              </w:rPr>
            </w:pPr>
          </w:p>
          <w:p w:rsidR="008F0DE5" w:rsidRDefault="008F0DE5" w:rsidP="003A6CBA">
            <w:pPr>
              <w:jc w:val="center"/>
              <w:rPr>
                <w:b/>
                <w:u w:val="single"/>
              </w:rPr>
            </w:pPr>
          </w:p>
          <w:p w:rsidR="003A6CBA" w:rsidRDefault="003A6CBA" w:rsidP="003A6CBA">
            <w:pPr>
              <w:jc w:val="center"/>
              <w:rPr>
                <w:rFonts w:ascii="Tahoma" w:eastAsia="Times New Roman" w:hAnsi="Tahoma" w:cs="Tahoma"/>
                <w:color w:val="000000"/>
                <w:sz w:val="24"/>
                <w:szCs w:val="24"/>
              </w:rPr>
            </w:pPr>
            <w:r w:rsidRPr="003A6CBA">
              <w:rPr>
                <w:rFonts w:ascii="Tahoma" w:eastAsia="Times New Roman" w:hAnsi="Tahoma" w:cs="Tahoma"/>
                <w:i/>
                <w:iCs/>
                <w:color w:val="000000"/>
                <w:sz w:val="24"/>
                <w:szCs w:val="24"/>
              </w:rPr>
              <w:t xml:space="preserve">Occupiable </w:t>
            </w:r>
            <w:r w:rsidRPr="003A6CBA">
              <w:rPr>
                <w:rFonts w:ascii="Tahoma" w:eastAsia="Times New Roman" w:hAnsi="Tahoma" w:cs="Tahoma"/>
                <w:color w:val="000000"/>
                <w:sz w:val="24"/>
                <w:szCs w:val="24"/>
              </w:rPr>
              <w:t xml:space="preserve"> </w:t>
            </w:r>
            <w:r w:rsidRPr="003A6CBA">
              <w:rPr>
                <w:rFonts w:ascii="Tahoma" w:eastAsia="Times New Roman" w:hAnsi="Tahoma" w:cs="Tahoma"/>
                <w:color w:val="000000"/>
                <w:sz w:val="24"/>
                <w:szCs w:val="24"/>
              </w:rPr>
              <w:br/>
              <w:t>Sum of rooms with room categories 01.xxx</w:t>
            </w:r>
          </w:p>
          <w:p w:rsidR="003A6CBA" w:rsidRDefault="003A6CBA" w:rsidP="003A6CBA">
            <w:pPr>
              <w:jc w:val="center"/>
              <w:rPr>
                <w:b/>
                <w:u w:val="single"/>
              </w:rPr>
            </w:pPr>
          </w:p>
          <w:p w:rsidR="008F0DE5" w:rsidRDefault="008F0DE5" w:rsidP="003A6CBA">
            <w:pPr>
              <w:jc w:val="center"/>
              <w:rPr>
                <w:b/>
                <w:u w:val="single"/>
              </w:rPr>
            </w:pPr>
          </w:p>
        </w:tc>
        <w:tc>
          <w:tcPr>
            <w:tcW w:w="2394" w:type="dxa"/>
            <w:vMerge w:val="restart"/>
            <w:shd w:val="clear" w:color="auto" w:fill="EEECE1" w:themeFill="background2"/>
            <w:vAlign w:val="center"/>
          </w:tcPr>
          <w:p w:rsidR="003A6CBA" w:rsidRDefault="003A6CBA" w:rsidP="003A6CBA">
            <w:pPr>
              <w:jc w:val="center"/>
              <w:rPr>
                <w:rFonts w:ascii="Tahoma" w:eastAsia="Times New Roman" w:hAnsi="Tahoma" w:cs="Tahoma"/>
                <w:i/>
                <w:iCs/>
                <w:color w:val="000000"/>
                <w:sz w:val="24"/>
                <w:szCs w:val="24"/>
              </w:rPr>
            </w:pPr>
          </w:p>
          <w:p w:rsidR="003A6CBA" w:rsidRDefault="003A6CBA" w:rsidP="003A6CBA">
            <w:pPr>
              <w:jc w:val="center"/>
              <w:rPr>
                <w:rFonts w:ascii="Tahoma" w:eastAsia="Times New Roman" w:hAnsi="Tahoma" w:cs="Tahoma"/>
                <w:i/>
                <w:iCs/>
                <w:color w:val="000000"/>
                <w:sz w:val="24"/>
                <w:szCs w:val="24"/>
              </w:rPr>
            </w:pPr>
          </w:p>
          <w:p w:rsidR="003A6CBA" w:rsidRDefault="003A6CBA" w:rsidP="003A6CBA">
            <w:pPr>
              <w:jc w:val="center"/>
              <w:rPr>
                <w:rFonts w:ascii="Tahoma" w:eastAsia="Times New Roman" w:hAnsi="Tahoma" w:cs="Tahoma"/>
                <w:color w:val="000000"/>
                <w:sz w:val="24"/>
                <w:szCs w:val="24"/>
              </w:rPr>
            </w:pPr>
            <w:r w:rsidRPr="003A6CBA">
              <w:rPr>
                <w:rFonts w:ascii="Tahoma" w:eastAsia="Times New Roman" w:hAnsi="Tahoma" w:cs="Tahoma"/>
                <w:i/>
                <w:iCs/>
                <w:color w:val="000000"/>
                <w:sz w:val="24"/>
                <w:szCs w:val="24"/>
              </w:rPr>
              <w:t>Non-Occupiable</w:t>
            </w:r>
            <w:r w:rsidRPr="003A6CBA">
              <w:rPr>
                <w:rFonts w:ascii="Tahoma" w:eastAsia="Times New Roman" w:hAnsi="Tahoma" w:cs="Tahoma"/>
                <w:color w:val="000000"/>
                <w:sz w:val="24"/>
                <w:szCs w:val="24"/>
              </w:rPr>
              <w:br/>
              <w:t>Sum of rooms with room categories 02.xxx</w:t>
            </w:r>
          </w:p>
          <w:p w:rsidR="003A6CBA" w:rsidRDefault="003A6CBA" w:rsidP="003A6CBA">
            <w:pPr>
              <w:jc w:val="center"/>
              <w:rPr>
                <w:rFonts w:ascii="Tahoma" w:eastAsia="Times New Roman" w:hAnsi="Tahoma" w:cs="Tahoma"/>
                <w:color w:val="000000"/>
                <w:sz w:val="24"/>
                <w:szCs w:val="24"/>
              </w:rPr>
            </w:pPr>
          </w:p>
          <w:p w:rsidR="003A6CBA" w:rsidRDefault="003A6CBA" w:rsidP="003A6CBA">
            <w:pPr>
              <w:jc w:val="center"/>
              <w:rPr>
                <w:b/>
                <w:u w:val="single"/>
              </w:rPr>
            </w:pPr>
          </w:p>
        </w:tc>
        <w:tc>
          <w:tcPr>
            <w:tcW w:w="2394" w:type="dxa"/>
            <w:vMerge/>
            <w:shd w:val="clear" w:color="auto" w:fill="F2DBDB" w:themeFill="accent2" w:themeFillTint="33"/>
            <w:vAlign w:val="center"/>
          </w:tcPr>
          <w:p w:rsidR="003A6CBA" w:rsidRDefault="003A6CBA" w:rsidP="003A6CBA">
            <w:pPr>
              <w:jc w:val="center"/>
              <w:rPr>
                <w:b/>
                <w:u w:val="single"/>
              </w:rPr>
            </w:pPr>
          </w:p>
        </w:tc>
      </w:tr>
      <w:tr w:rsidR="003A6CBA" w:rsidTr="003A6CBA">
        <w:tc>
          <w:tcPr>
            <w:tcW w:w="3528" w:type="dxa"/>
            <w:shd w:val="clear" w:color="auto" w:fill="DAEEF3" w:themeFill="accent5" w:themeFillTint="33"/>
            <w:vAlign w:val="center"/>
          </w:tcPr>
          <w:p w:rsidR="003A6CBA" w:rsidRDefault="003A6CBA" w:rsidP="003A6CBA">
            <w:pPr>
              <w:jc w:val="center"/>
              <w:rPr>
                <w:b/>
                <w:u w:val="single"/>
              </w:rPr>
            </w:pPr>
          </w:p>
          <w:p w:rsidR="003A6CBA" w:rsidRDefault="003A6CBA" w:rsidP="003A6CBA">
            <w:pPr>
              <w:jc w:val="center"/>
              <w:rPr>
                <w:b/>
                <w:u w:val="single"/>
              </w:rPr>
            </w:pPr>
          </w:p>
          <w:p w:rsidR="008F0DE5" w:rsidRDefault="008F0DE5" w:rsidP="003A6CBA">
            <w:pPr>
              <w:jc w:val="center"/>
              <w:rPr>
                <w:b/>
                <w:u w:val="single"/>
              </w:rPr>
            </w:pPr>
          </w:p>
          <w:p w:rsidR="008F0DE5" w:rsidRDefault="008F0DE5" w:rsidP="003A6CBA">
            <w:pPr>
              <w:jc w:val="center"/>
              <w:rPr>
                <w:b/>
                <w:u w:val="single"/>
              </w:rPr>
            </w:pPr>
          </w:p>
          <w:p w:rsidR="003A6CBA" w:rsidRDefault="003A6CBA" w:rsidP="003A6CBA">
            <w:pPr>
              <w:jc w:val="center"/>
              <w:rPr>
                <w:rFonts w:ascii="Tahoma" w:eastAsia="Times New Roman" w:hAnsi="Tahoma" w:cs="Tahoma"/>
                <w:color w:val="000000"/>
                <w:sz w:val="24"/>
                <w:szCs w:val="24"/>
              </w:rPr>
            </w:pPr>
            <w:r w:rsidRPr="003A6CBA">
              <w:rPr>
                <w:rFonts w:ascii="Tahoma" w:eastAsia="Times New Roman" w:hAnsi="Tahoma" w:cs="Tahoma"/>
                <w:i/>
                <w:iCs/>
                <w:color w:val="000000"/>
                <w:sz w:val="24"/>
                <w:szCs w:val="24"/>
              </w:rPr>
              <w:t>Occupiable Dept</w:t>
            </w:r>
            <w:r w:rsidRPr="003A6CBA">
              <w:rPr>
                <w:rFonts w:ascii="Tahoma" w:eastAsia="Times New Roman" w:hAnsi="Tahoma" w:cs="Tahoma"/>
                <w:color w:val="000000"/>
                <w:sz w:val="24"/>
                <w:szCs w:val="24"/>
              </w:rPr>
              <w:br/>
              <w:t>Assignable &amp; Assigned</w:t>
            </w:r>
          </w:p>
          <w:p w:rsidR="003A6CBA" w:rsidRDefault="003A6CBA" w:rsidP="003A6CBA">
            <w:pPr>
              <w:jc w:val="center"/>
              <w:rPr>
                <w:rFonts w:ascii="Tahoma" w:eastAsia="Times New Roman" w:hAnsi="Tahoma" w:cs="Tahoma"/>
                <w:color w:val="000000"/>
                <w:sz w:val="24"/>
                <w:szCs w:val="24"/>
              </w:rPr>
            </w:pPr>
          </w:p>
          <w:p w:rsidR="008F0DE5" w:rsidRDefault="008F0DE5" w:rsidP="003A6CBA">
            <w:pPr>
              <w:jc w:val="center"/>
              <w:rPr>
                <w:rFonts w:ascii="Tahoma" w:eastAsia="Times New Roman" w:hAnsi="Tahoma" w:cs="Tahoma"/>
                <w:color w:val="000000"/>
                <w:sz w:val="24"/>
                <w:szCs w:val="24"/>
              </w:rPr>
            </w:pPr>
          </w:p>
          <w:p w:rsidR="008F0DE5" w:rsidRDefault="008F0DE5" w:rsidP="003A6CBA">
            <w:pPr>
              <w:jc w:val="center"/>
              <w:rPr>
                <w:rFonts w:ascii="Tahoma" w:eastAsia="Times New Roman" w:hAnsi="Tahoma" w:cs="Tahoma"/>
                <w:color w:val="000000"/>
                <w:sz w:val="24"/>
                <w:szCs w:val="24"/>
              </w:rPr>
            </w:pPr>
          </w:p>
          <w:p w:rsidR="003A6CBA" w:rsidRDefault="003A6CBA" w:rsidP="003A6CBA">
            <w:pPr>
              <w:jc w:val="center"/>
              <w:rPr>
                <w:b/>
                <w:u w:val="single"/>
              </w:rPr>
            </w:pPr>
          </w:p>
        </w:tc>
        <w:tc>
          <w:tcPr>
            <w:tcW w:w="1260" w:type="dxa"/>
            <w:shd w:val="clear" w:color="auto" w:fill="F2F2F2" w:themeFill="background1" w:themeFillShade="F2"/>
            <w:vAlign w:val="center"/>
          </w:tcPr>
          <w:p w:rsidR="003A6CBA" w:rsidRDefault="003A6CBA" w:rsidP="003A6CBA">
            <w:pPr>
              <w:jc w:val="center"/>
              <w:rPr>
                <w:rFonts w:ascii="Tahoma" w:eastAsia="Times New Roman" w:hAnsi="Tahoma" w:cs="Tahoma"/>
                <w:color w:val="000000"/>
                <w:sz w:val="24"/>
                <w:szCs w:val="24"/>
              </w:rPr>
            </w:pPr>
            <w:r w:rsidRPr="003A6CBA">
              <w:rPr>
                <w:rFonts w:ascii="Tahoma" w:eastAsia="Times New Roman" w:hAnsi="Tahoma" w:cs="Tahoma"/>
                <w:color w:val="000000"/>
                <w:sz w:val="24"/>
                <w:szCs w:val="24"/>
              </w:rPr>
              <w:t>Difference</w:t>
            </w:r>
          </w:p>
          <w:p w:rsidR="00276D5D" w:rsidRPr="00276D5D" w:rsidRDefault="00276D5D" w:rsidP="003A6CBA">
            <w:pPr>
              <w:jc w:val="center"/>
            </w:pPr>
            <w:r w:rsidRPr="00276D5D">
              <w:t>(01.xxx rooms with no responsible cost center)</w:t>
            </w:r>
          </w:p>
        </w:tc>
        <w:tc>
          <w:tcPr>
            <w:tcW w:w="2394" w:type="dxa"/>
            <w:vMerge/>
            <w:shd w:val="clear" w:color="auto" w:fill="EEECE1" w:themeFill="background2"/>
            <w:vAlign w:val="center"/>
          </w:tcPr>
          <w:p w:rsidR="003A6CBA" w:rsidRDefault="003A6CBA" w:rsidP="003A6CBA">
            <w:pPr>
              <w:jc w:val="center"/>
              <w:rPr>
                <w:b/>
                <w:u w:val="single"/>
              </w:rPr>
            </w:pPr>
          </w:p>
        </w:tc>
        <w:tc>
          <w:tcPr>
            <w:tcW w:w="2394" w:type="dxa"/>
            <w:vMerge/>
            <w:shd w:val="clear" w:color="auto" w:fill="F2DBDB" w:themeFill="accent2" w:themeFillTint="33"/>
            <w:vAlign w:val="center"/>
          </w:tcPr>
          <w:p w:rsidR="003A6CBA" w:rsidRDefault="003A6CBA" w:rsidP="003A6CBA">
            <w:pPr>
              <w:jc w:val="center"/>
              <w:rPr>
                <w:b/>
                <w:u w:val="single"/>
              </w:rPr>
            </w:pPr>
          </w:p>
        </w:tc>
      </w:tr>
    </w:tbl>
    <w:p w:rsidR="003A6CBA" w:rsidRDefault="003A6CBA" w:rsidP="008F0DE5">
      <w:pPr>
        <w:rPr>
          <w:b/>
          <w:u w:val="single"/>
        </w:rPr>
      </w:pPr>
    </w:p>
    <w:p w:rsidR="008F0DE5" w:rsidRDefault="00DE7383" w:rsidP="008F0DE5">
      <w:r>
        <w:rPr>
          <w:b/>
        </w:rPr>
        <w:t>Spreadsheet with Descriptions:</w:t>
      </w:r>
    </w:p>
    <w:p w:rsidR="00DE7383" w:rsidRDefault="00DE7383" w:rsidP="008F0DE5">
      <w:r>
        <w:t>The following is a partial screenshot of a spreadsheet that Laurie put together of the 84 buildings we had in ARCHIBUS for Memphis as of 3/8/2013.  She arranged the columns in a logical progression to help step through the calculations being done.  Following the spreadsheet is a list of bulleted items further explaining the values and terms found on the spreadsheet itself.  I have re-oriented the picture to make it easier to read.</w:t>
      </w:r>
    </w:p>
    <w:p w:rsidR="00DE7383" w:rsidRDefault="00DE7383" w:rsidP="00DE7383">
      <w:pPr>
        <w:jc w:val="center"/>
      </w:pPr>
      <w:r>
        <w:br w:type="page"/>
      </w:r>
      <w:r>
        <w:rPr>
          <w:noProof/>
        </w:rPr>
        <w:lastRenderedPageBreak/>
        <w:drawing>
          <wp:inline distT="0" distB="0" distL="0" distR="0" wp14:anchorId="00A80CC9" wp14:editId="49FF1A90">
            <wp:extent cx="7858125" cy="2904178"/>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6200000">
                      <a:off x="0" y="0"/>
                      <a:ext cx="7897576" cy="2918758"/>
                    </a:xfrm>
                    <a:prstGeom prst="rect">
                      <a:avLst/>
                    </a:prstGeom>
                  </pic:spPr>
                </pic:pic>
              </a:graphicData>
            </a:graphic>
          </wp:inline>
        </w:drawing>
      </w:r>
    </w:p>
    <w:p w:rsidR="00DE7383" w:rsidRDefault="00DE7383">
      <w:r>
        <w:br w:type="page"/>
      </w:r>
    </w:p>
    <w:p w:rsidR="00DE7383" w:rsidRDefault="00E620BE" w:rsidP="005A7A1E">
      <w:pPr>
        <w:pStyle w:val="ListParagraph"/>
        <w:numPr>
          <w:ilvl w:val="0"/>
          <w:numId w:val="6"/>
        </w:numPr>
      </w:pPr>
      <w:r>
        <w:lastRenderedPageBreak/>
        <w:t>When scanning across a row, the “Total Room Area” and the “Remaining Area” (aka “Structural”) always equal the “Int. Gross Area.”</w:t>
      </w:r>
    </w:p>
    <w:p w:rsidR="00E620BE" w:rsidRDefault="00E620BE" w:rsidP="005A7A1E">
      <w:pPr>
        <w:pStyle w:val="ListParagraph"/>
        <w:numPr>
          <w:ilvl w:val="0"/>
          <w:numId w:val="6"/>
        </w:numPr>
      </w:pPr>
      <w:r>
        <w:t>The “Int. Gross Area” and “Building Net Useable Area” fields always have the same values.  If we had declared any of our area types as “Vertical Penetration” then these numbers would be different.</w:t>
      </w:r>
    </w:p>
    <w:p w:rsidR="00E620BE" w:rsidRDefault="00E620BE" w:rsidP="005A7A1E">
      <w:pPr>
        <w:pStyle w:val="ListParagraph"/>
        <w:numPr>
          <w:ilvl w:val="0"/>
          <w:numId w:val="6"/>
        </w:numPr>
      </w:pPr>
      <w:r>
        <w:t>The “Total Room Area” field is the sum of all rooms.  This is often referred to in IRIS as the “net area.”</w:t>
      </w:r>
    </w:p>
    <w:p w:rsidR="00E620BE" w:rsidRDefault="00E620BE" w:rsidP="005A7A1E">
      <w:pPr>
        <w:pStyle w:val="ListParagraph"/>
        <w:numPr>
          <w:ilvl w:val="0"/>
          <w:numId w:val="6"/>
        </w:numPr>
      </w:pPr>
      <w:r>
        <w:t>The “Remaining Area” field is the difference between the “Int. Gross Area” and the “Total Room Area.”  That is why it is also referred to as “Structural,” since it represents the structural part of the building.</w:t>
      </w:r>
    </w:p>
    <w:p w:rsidR="00E620BE" w:rsidRDefault="00134BEC" w:rsidP="005A7A1E">
      <w:pPr>
        <w:pStyle w:val="ListParagraph"/>
        <w:numPr>
          <w:ilvl w:val="0"/>
          <w:numId w:val="6"/>
        </w:numPr>
      </w:pPr>
      <w:r>
        <w:t xml:space="preserve">The “Total Occup. Area” field is the sum of only those rooms assigned to the 01.xxx series of room categories.  This may also </w:t>
      </w:r>
      <w:r w:rsidR="00070FAC">
        <w:t xml:space="preserve">be </w:t>
      </w:r>
      <w:r>
        <w:t>refer</w:t>
      </w:r>
      <w:r w:rsidR="00070FAC">
        <w:t>red</w:t>
      </w:r>
      <w:r>
        <w:t xml:space="preserve"> to </w:t>
      </w:r>
      <w:r w:rsidR="00070FAC">
        <w:t xml:space="preserve">as the </w:t>
      </w:r>
      <w:r>
        <w:t>“Assignable” area.</w:t>
      </w:r>
    </w:p>
    <w:p w:rsidR="00134BEC" w:rsidRDefault="00134BEC" w:rsidP="00134BEC">
      <w:pPr>
        <w:pStyle w:val="ListParagraph"/>
        <w:numPr>
          <w:ilvl w:val="0"/>
          <w:numId w:val="6"/>
        </w:numPr>
      </w:pPr>
      <w:r>
        <w:t xml:space="preserve">The “Total </w:t>
      </w:r>
      <w:r w:rsidR="00070FAC">
        <w:t>Non-</w:t>
      </w:r>
      <w:r>
        <w:t>Occup. Area” field is the sum of only those rooms assigned to the 0</w:t>
      </w:r>
      <w:r w:rsidR="00070FAC">
        <w:t>2</w:t>
      </w:r>
      <w:r>
        <w:t xml:space="preserve">.xxx series of room categories.  </w:t>
      </w:r>
      <w:r w:rsidR="00070FAC">
        <w:t xml:space="preserve">This may also be referred to as the </w:t>
      </w:r>
      <w:r>
        <w:t>“</w:t>
      </w:r>
      <w:r w:rsidR="00070FAC">
        <w:t>Non-A</w:t>
      </w:r>
      <w:r>
        <w:t>ssignable” area.</w:t>
      </w:r>
    </w:p>
    <w:p w:rsidR="00134BEC" w:rsidRDefault="00070FAC" w:rsidP="005A7A1E">
      <w:pPr>
        <w:pStyle w:val="ListParagraph"/>
        <w:numPr>
          <w:ilvl w:val="0"/>
          <w:numId w:val="6"/>
        </w:numPr>
      </w:pPr>
      <w:r>
        <w:t xml:space="preserve">Columns K, L, and M (“Total Occup. Dept. Area,” “Total Room Dept. Area,” and “Total Non-Occup. Dept Area” respectively) could be of interest to us.  </w:t>
      </w:r>
      <w:r w:rsidR="00C11AC8">
        <w:t>For example, if the “Total Occup. Dept Area” does not equal the “Total Occup. Area,” then you can logically assume that the building has assignable rooms that have in fact not been assigned to any department.</w:t>
      </w:r>
    </w:p>
    <w:p w:rsidR="00402E93" w:rsidRDefault="00402E93" w:rsidP="005A7A1E">
      <w:pPr>
        <w:pStyle w:val="ListParagraph"/>
        <w:numPr>
          <w:ilvl w:val="0"/>
          <w:numId w:val="6"/>
        </w:numPr>
      </w:pPr>
      <w:r>
        <w:t>We have currently not been able to decipher the values in columns N and O (“Building Assignable Area” and “Building Non-Assignable”).  These are shaded in a light red to make them stand out.  We suspect that these may be derived based on certain settings that can be made to the room categories.  We may need to review these in the future.</w:t>
      </w:r>
    </w:p>
    <w:p w:rsidR="00431C63" w:rsidRDefault="00431C63" w:rsidP="00431C63"/>
    <w:p w:rsidR="00431C63" w:rsidRDefault="00431C63" w:rsidP="00431C63">
      <w:pPr>
        <w:rPr>
          <w:b/>
        </w:rPr>
      </w:pPr>
      <w:r>
        <w:rPr>
          <w:b/>
        </w:rPr>
        <w:t>Area Fields from the Building (bl) Table:</w:t>
      </w:r>
    </w:p>
    <w:p w:rsidR="00153965" w:rsidRDefault="00431C63" w:rsidP="00431C63">
      <w:r>
        <w:t xml:space="preserve">The following is a list of all fields from the building (bl) table in ARCHIBUS that </w:t>
      </w:r>
      <w:r w:rsidR="00153965">
        <w:t>begin with the word “area.”  The fields are separated into two groups: 1) those that we know we are using and can identify, and 2) those fields that are either empty in the building table in ARCHIBUS or that are unknown to us (in terms of how the values are calculated).</w:t>
      </w:r>
    </w:p>
    <w:p w:rsidR="00153965" w:rsidRPr="00727F9A" w:rsidRDefault="00153965" w:rsidP="00153965">
      <w:pPr>
        <w:rPr>
          <w:u w:val="single"/>
        </w:rPr>
      </w:pPr>
      <w:r w:rsidRPr="00727F9A">
        <w:rPr>
          <w:u w:val="single"/>
        </w:rPr>
        <w:t>Fields Being Used</w:t>
      </w:r>
      <w:r w:rsidRPr="00727F9A">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700"/>
        <w:gridCol w:w="5058"/>
      </w:tblGrid>
      <w:tr w:rsidR="00153965" w:rsidTr="0030057F">
        <w:trPr>
          <w:jc w:val="center"/>
        </w:trPr>
        <w:tc>
          <w:tcPr>
            <w:tcW w:w="1818" w:type="dxa"/>
          </w:tcPr>
          <w:p w:rsidR="00153965" w:rsidRPr="00153965" w:rsidRDefault="00153965" w:rsidP="00153965">
            <w:pPr>
              <w:rPr>
                <w:u w:val="single"/>
              </w:rPr>
            </w:pPr>
            <w:r>
              <w:rPr>
                <w:u w:val="single"/>
              </w:rPr>
              <w:t>Technical Name</w:t>
            </w:r>
          </w:p>
        </w:tc>
        <w:tc>
          <w:tcPr>
            <w:tcW w:w="2700" w:type="dxa"/>
          </w:tcPr>
          <w:p w:rsidR="00153965" w:rsidRPr="00153965" w:rsidRDefault="00153965" w:rsidP="00153965">
            <w:pPr>
              <w:rPr>
                <w:u w:val="single"/>
              </w:rPr>
            </w:pPr>
            <w:r>
              <w:rPr>
                <w:u w:val="single"/>
              </w:rPr>
              <w:t>Description</w:t>
            </w:r>
          </w:p>
        </w:tc>
        <w:tc>
          <w:tcPr>
            <w:tcW w:w="5058" w:type="dxa"/>
          </w:tcPr>
          <w:p w:rsidR="00153965" w:rsidRPr="00153965" w:rsidRDefault="00153965" w:rsidP="00153965">
            <w:pPr>
              <w:rPr>
                <w:u w:val="single"/>
              </w:rPr>
            </w:pPr>
            <w:r>
              <w:rPr>
                <w:u w:val="single"/>
              </w:rPr>
              <w:t>Comment</w:t>
            </w:r>
          </w:p>
        </w:tc>
      </w:tr>
      <w:tr w:rsidR="00153965" w:rsidTr="0030057F">
        <w:trPr>
          <w:jc w:val="center"/>
        </w:trPr>
        <w:tc>
          <w:tcPr>
            <w:tcW w:w="1818" w:type="dxa"/>
          </w:tcPr>
          <w:p w:rsidR="00153965" w:rsidRDefault="00153965" w:rsidP="00153965">
            <w:r>
              <w:t>area_gross_int</w:t>
            </w:r>
          </w:p>
        </w:tc>
        <w:tc>
          <w:tcPr>
            <w:tcW w:w="2700" w:type="dxa"/>
          </w:tcPr>
          <w:p w:rsidR="00153965" w:rsidRDefault="00153965" w:rsidP="00153965">
            <w:r>
              <w:t>Int. Gross Area</w:t>
            </w:r>
          </w:p>
        </w:tc>
        <w:tc>
          <w:tcPr>
            <w:tcW w:w="5058" w:type="dxa"/>
          </w:tcPr>
          <w:p w:rsidR="00153965" w:rsidRDefault="00153965" w:rsidP="00153965">
            <w:r>
              <w:t>Gross area</w:t>
            </w:r>
          </w:p>
        </w:tc>
      </w:tr>
      <w:tr w:rsidR="00153965" w:rsidTr="0030057F">
        <w:trPr>
          <w:jc w:val="center"/>
        </w:trPr>
        <w:tc>
          <w:tcPr>
            <w:tcW w:w="1818" w:type="dxa"/>
          </w:tcPr>
          <w:p w:rsidR="00153965" w:rsidRDefault="00153965" w:rsidP="00153965">
            <w:r>
              <w:t>area_rentable</w:t>
            </w:r>
          </w:p>
        </w:tc>
        <w:tc>
          <w:tcPr>
            <w:tcW w:w="2700" w:type="dxa"/>
          </w:tcPr>
          <w:p w:rsidR="00153965" w:rsidRDefault="00153965" w:rsidP="00153965">
            <w:r>
              <w:t>Building Net Useable Area</w:t>
            </w:r>
          </w:p>
        </w:tc>
        <w:tc>
          <w:tcPr>
            <w:tcW w:w="5058" w:type="dxa"/>
          </w:tcPr>
          <w:p w:rsidR="00153965" w:rsidRDefault="00153965" w:rsidP="00153965">
            <w:r>
              <w:t>Same as “Gross” since we don’t record vertical penetration</w:t>
            </w:r>
          </w:p>
        </w:tc>
      </w:tr>
      <w:tr w:rsidR="00153965" w:rsidTr="0030057F">
        <w:trPr>
          <w:jc w:val="center"/>
        </w:trPr>
        <w:tc>
          <w:tcPr>
            <w:tcW w:w="1818" w:type="dxa"/>
          </w:tcPr>
          <w:p w:rsidR="00153965" w:rsidRDefault="00153965" w:rsidP="00153965">
            <w:r>
              <w:t>area_rm</w:t>
            </w:r>
          </w:p>
        </w:tc>
        <w:tc>
          <w:tcPr>
            <w:tcW w:w="2700" w:type="dxa"/>
          </w:tcPr>
          <w:p w:rsidR="00153965" w:rsidRDefault="00153965" w:rsidP="00153965">
            <w:r>
              <w:t>Total Room Area</w:t>
            </w:r>
          </w:p>
        </w:tc>
        <w:tc>
          <w:tcPr>
            <w:tcW w:w="5058" w:type="dxa"/>
          </w:tcPr>
          <w:p w:rsidR="00153965" w:rsidRDefault="00153965" w:rsidP="00153965">
            <w:r>
              <w:t>Sum of all rooms of all types</w:t>
            </w:r>
          </w:p>
        </w:tc>
      </w:tr>
      <w:tr w:rsidR="00153965" w:rsidTr="0030057F">
        <w:trPr>
          <w:jc w:val="center"/>
        </w:trPr>
        <w:tc>
          <w:tcPr>
            <w:tcW w:w="1818" w:type="dxa"/>
          </w:tcPr>
          <w:p w:rsidR="00153965" w:rsidRDefault="00153965" w:rsidP="00153965">
            <w:r>
              <w:t>area_remain</w:t>
            </w:r>
          </w:p>
        </w:tc>
        <w:tc>
          <w:tcPr>
            <w:tcW w:w="2700" w:type="dxa"/>
          </w:tcPr>
          <w:p w:rsidR="00153965" w:rsidRDefault="00153965" w:rsidP="00153965">
            <w:r>
              <w:t>Remaining Area</w:t>
            </w:r>
          </w:p>
        </w:tc>
        <w:tc>
          <w:tcPr>
            <w:tcW w:w="5058" w:type="dxa"/>
          </w:tcPr>
          <w:p w:rsidR="00153965" w:rsidRDefault="00E45E17" w:rsidP="00153965">
            <w:r>
              <w:t>The difference between the “Gross” and “Total Room” values</w:t>
            </w:r>
          </w:p>
        </w:tc>
      </w:tr>
      <w:tr w:rsidR="00153965" w:rsidTr="0030057F">
        <w:trPr>
          <w:jc w:val="center"/>
        </w:trPr>
        <w:tc>
          <w:tcPr>
            <w:tcW w:w="1818" w:type="dxa"/>
          </w:tcPr>
          <w:p w:rsidR="00153965" w:rsidRDefault="00E45E17" w:rsidP="00E45E17">
            <w:r>
              <w:t>area_ocup</w:t>
            </w:r>
          </w:p>
        </w:tc>
        <w:tc>
          <w:tcPr>
            <w:tcW w:w="2700" w:type="dxa"/>
          </w:tcPr>
          <w:p w:rsidR="00153965" w:rsidRDefault="00E45E17" w:rsidP="00153965">
            <w:r>
              <w:t>Total Occup. Area</w:t>
            </w:r>
          </w:p>
        </w:tc>
        <w:tc>
          <w:tcPr>
            <w:tcW w:w="5058" w:type="dxa"/>
          </w:tcPr>
          <w:p w:rsidR="00153965" w:rsidRDefault="00E45E17" w:rsidP="00153965">
            <w:r>
              <w:t>Sum of all rooms in the 01.xxx categories (i.e. “Assignable”)</w:t>
            </w:r>
          </w:p>
        </w:tc>
      </w:tr>
      <w:tr w:rsidR="00153965" w:rsidTr="0030057F">
        <w:trPr>
          <w:jc w:val="center"/>
        </w:trPr>
        <w:tc>
          <w:tcPr>
            <w:tcW w:w="1818" w:type="dxa"/>
          </w:tcPr>
          <w:p w:rsidR="00153965" w:rsidRDefault="00E45E17" w:rsidP="00153965">
            <w:r>
              <w:t>area_nocup</w:t>
            </w:r>
          </w:p>
        </w:tc>
        <w:tc>
          <w:tcPr>
            <w:tcW w:w="2700" w:type="dxa"/>
          </w:tcPr>
          <w:p w:rsidR="00153965" w:rsidRDefault="00E45E17" w:rsidP="00153965">
            <w:r>
              <w:t>Total Non-Occup. Area</w:t>
            </w:r>
          </w:p>
        </w:tc>
        <w:tc>
          <w:tcPr>
            <w:tcW w:w="5058" w:type="dxa"/>
          </w:tcPr>
          <w:p w:rsidR="00153965" w:rsidRDefault="00E45E17" w:rsidP="00E45E17">
            <w:r>
              <w:t>Sum of all rooms in the 02.xxx categories (i.e. “Non-Assignable”)</w:t>
            </w:r>
          </w:p>
        </w:tc>
      </w:tr>
      <w:tr w:rsidR="00E45E17" w:rsidTr="0030057F">
        <w:trPr>
          <w:jc w:val="center"/>
        </w:trPr>
        <w:tc>
          <w:tcPr>
            <w:tcW w:w="1818" w:type="dxa"/>
          </w:tcPr>
          <w:p w:rsidR="00E45E17" w:rsidRDefault="00E45E17" w:rsidP="00153965">
            <w:r>
              <w:t>area_ocup_dp</w:t>
            </w:r>
          </w:p>
        </w:tc>
        <w:tc>
          <w:tcPr>
            <w:tcW w:w="2700" w:type="dxa"/>
          </w:tcPr>
          <w:p w:rsidR="00E45E17" w:rsidRDefault="00E45E17" w:rsidP="00153965">
            <w:r>
              <w:t>Total Occup. Dept Area</w:t>
            </w:r>
          </w:p>
        </w:tc>
        <w:tc>
          <w:tcPr>
            <w:tcW w:w="5058" w:type="dxa"/>
          </w:tcPr>
          <w:p w:rsidR="00E45E17" w:rsidRDefault="00E45E17" w:rsidP="00E45E17">
            <w:r>
              <w:t>Sum of assignable rooms that actually are assigned (i.e. have a responsible cost center)</w:t>
            </w:r>
          </w:p>
        </w:tc>
      </w:tr>
    </w:tbl>
    <w:p w:rsidR="00431C63" w:rsidRDefault="00431C63" w:rsidP="00153965">
      <w:pPr>
        <w:jc w:val="center"/>
      </w:pPr>
      <w:bookmarkStart w:id="0" w:name="_GoBack"/>
      <w:bookmarkEnd w:id="0"/>
    </w:p>
    <w:sectPr w:rsidR="00431C63" w:rsidSect="00C814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F4" w:rsidRDefault="00C831F4" w:rsidP="00AE5014">
      <w:pPr>
        <w:spacing w:after="0" w:line="240" w:lineRule="auto"/>
      </w:pPr>
      <w:r>
        <w:separator/>
      </w:r>
    </w:p>
  </w:endnote>
  <w:endnote w:type="continuationSeparator" w:id="0">
    <w:p w:rsidR="00C831F4" w:rsidRDefault="00C831F4" w:rsidP="00AE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B" w:rsidRDefault="00DF5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14" w:rsidRDefault="00DF571B">
    <w:pPr>
      <w:pStyle w:val="Footer"/>
    </w:pPr>
    <w:r>
      <w:fldChar w:fldCharType="begin"/>
    </w:r>
    <w:r>
      <w:instrText xml:space="preserve"> DATE \@ "MMMM d, yyyy" </w:instrText>
    </w:r>
    <w:r>
      <w:fldChar w:fldCharType="separate"/>
    </w:r>
    <w:r w:rsidR="00150DFF">
      <w:rPr>
        <w:noProof/>
      </w:rPr>
      <w:t>July 16, 2013</w:t>
    </w:r>
    <w:r>
      <w:fldChar w:fldCharType="end"/>
    </w:r>
    <w:r w:rsidR="00526925">
      <w:ptab w:relativeTo="margin" w:alignment="center" w:leader="none"/>
    </w:r>
    <w:r w:rsidR="00526925">
      <w:ptab w:relativeTo="margin" w:alignment="right" w:leader="none"/>
    </w:r>
    <w:r w:rsidR="00526925" w:rsidRPr="00526925">
      <w:fldChar w:fldCharType="begin"/>
    </w:r>
    <w:r w:rsidR="00526925" w:rsidRPr="00526925">
      <w:instrText xml:space="preserve"> PAGE   \* MERGEFORMAT </w:instrText>
    </w:r>
    <w:r w:rsidR="00526925" w:rsidRPr="00526925">
      <w:fldChar w:fldCharType="separate"/>
    </w:r>
    <w:r w:rsidR="00150DFF">
      <w:rPr>
        <w:noProof/>
      </w:rPr>
      <w:t>4</w:t>
    </w:r>
    <w:r w:rsidR="00526925" w:rsidRPr="0052692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B" w:rsidRDefault="00DF5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F4" w:rsidRDefault="00C831F4" w:rsidP="00AE5014">
      <w:pPr>
        <w:spacing w:after="0" w:line="240" w:lineRule="auto"/>
      </w:pPr>
      <w:r>
        <w:separator/>
      </w:r>
    </w:p>
  </w:footnote>
  <w:footnote w:type="continuationSeparator" w:id="0">
    <w:p w:rsidR="00C831F4" w:rsidRDefault="00C831F4" w:rsidP="00AE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B" w:rsidRDefault="00DF5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BCAF7290358E4DA7AA11D479E999DC4E"/>
      </w:placeholder>
      <w:dataBinding w:prefixMappings="xmlns:ns0='http://schemas.openxmlformats.org/package/2006/metadata/core-properties' xmlns:ns1='http://purl.org/dc/elements/1.1/'" w:xpath="/ns0:coreProperties[1]/ns1:title[1]" w:storeItemID="{6C3C8BC8-F283-45AE-878A-BAB7291924A1}"/>
      <w:text/>
    </w:sdtPr>
    <w:sdtEndPr/>
    <w:sdtContent>
      <w:p w:rsidR="00526925" w:rsidRDefault="005269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Area Calculation Definitions for Space Management</w:t>
        </w:r>
      </w:p>
    </w:sdtContent>
  </w:sdt>
  <w:p w:rsidR="00AE5014" w:rsidRDefault="00AE5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B" w:rsidRDefault="00DF5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6B48"/>
    <w:multiLevelType w:val="hybridMultilevel"/>
    <w:tmpl w:val="FFE6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42ED"/>
    <w:multiLevelType w:val="hybridMultilevel"/>
    <w:tmpl w:val="7A5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43AF3"/>
    <w:multiLevelType w:val="hybridMultilevel"/>
    <w:tmpl w:val="68DC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71BEA"/>
    <w:multiLevelType w:val="hybridMultilevel"/>
    <w:tmpl w:val="A5FC35B0"/>
    <w:lvl w:ilvl="0" w:tplc="ABEE33F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20A6B7C"/>
    <w:multiLevelType w:val="hybridMultilevel"/>
    <w:tmpl w:val="A6F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14"/>
    <w:rsid w:val="00070FAC"/>
    <w:rsid w:val="000757CA"/>
    <w:rsid w:val="00134BEC"/>
    <w:rsid w:val="00150DFF"/>
    <w:rsid w:val="00153965"/>
    <w:rsid w:val="001A45C4"/>
    <w:rsid w:val="001C106C"/>
    <w:rsid w:val="002146C8"/>
    <w:rsid w:val="00276D5D"/>
    <w:rsid w:val="002922AB"/>
    <w:rsid w:val="0030057F"/>
    <w:rsid w:val="003A6CBA"/>
    <w:rsid w:val="00402E93"/>
    <w:rsid w:val="00431C63"/>
    <w:rsid w:val="004A1A2E"/>
    <w:rsid w:val="00526925"/>
    <w:rsid w:val="005A7A1E"/>
    <w:rsid w:val="006366E5"/>
    <w:rsid w:val="0070724F"/>
    <w:rsid w:val="00727A87"/>
    <w:rsid w:val="00727F9A"/>
    <w:rsid w:val="007559C4"/>
    <w:rsid w:val="00766B72"/>
    <w:rsid w:val="00875593"/>
    <w:rsid w:val="008977C7"/>
    <w:rsid w:val="008F0DE5"/>
    <w:rsid w:val="00946E68"/>
    <w:rsid w:val="00952D56"/>
    <w:rsid w:val="0098690D"/>
    <w:rsid w:val="009F6079"/>
    <w:rsid w:val="00AB0F2A"/>
    <w:rsid w:val="00AE5014"/>
    <w:rsid w:val="00B04798"/>
    <w:rsid w:val="00B133A2"/>
    <w:rsid w:val="00C06839"/>
    <w:rsid w:val="00C11AC8"/>
    <w:rsid w:val="00C814C4"/>
    <w:rsid w:val="00C831F4"/>
    <w:rsid w:val="00CB0E5B"/>
    <w:rsid w:val="00CC3A5E"/>
    <w:rsid w:val="00CF5BA1"/>
    <w:rsid w:val="00DE7383"/>
    <w:rsid w:val="00DF571B"/>
    <w:rsid w:val="00E45E17"/>
    <w:rsid w:val="00E620BE"/>
    <w:rsid w:val="00E915F4"/>
    <w:rsid w:val="00F6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20BC8-217E-45F8-846C-523037CD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14"/>
  </w:style>
  <w:style w:type="paragraph" w:styleId="Footer">
    <w:name w:val="footer"/>
    <w:basedOn w:val="Normal"/>
    <w:link w:val="FooterChar"/>
    <w:uiPriority w:val="99"/>
    <w:unhideWhenUsed/>
    <w:rsid w:val="00AE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14"/>
  </w:style>
  <w:style w:type="paragraph" w:styleId="BalloonText">
    <w:name w:val="Balloon Text"/>
    <w:basedOn w:val="Normal"/>
    <w:link w:val="BalloonTextChar"/>
    <w:uiPriority w:val="99"/>
    <w:semiHidden/>
    <w:unhideWhenUsed/>
    <w:rsid w:val="00AE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014"/>
    <w:rPr>
      <w:rFonts w:ascii="Tahoma" w:hAnsi="Tahoma" w:cs="Tahoma"/>
      <w:sz w:val="16"/>
      <w:szCs w:val="16"/>
    </w:rPr>
  </w:style>
  <w:style w:type="paragraph" w:styleId="NoSpacing">
    <w:name w:val="No Spacing"/>
    <w:link w:val="NoSpacingChar"/>
    <w:uiPriority w:val="1"/>
    <w:qFormat/>
    <w:rsid w:val="005269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6925"/>
    <w:rPr>
      <w:rFonts w:eastAsiaTheme="minorEastAsia"/>
      <w:lang w:eastAsia="ja-JP"/>
    </w:rPr>
  </w:style>
  <w:style w:type="paragraph" w:styleId="ListParagraph">
    <w:name w:val="List Paragraph"/>
    <w:basedOn w:val="Normal"/>
    <w:uiPriority w:val="34"/>
    <w:qFormat/>
    <w:rsid w:val="00526925"/>
    <w:pPr>
      <w:spacing w:after="0" w:line="240" w:lineRule="auto"/>
      <w:ind w:left="720"/>
    </w:pPr>
    <w:rPr>
      <w:rFonts w:ascii="Calibri" w:hAnsi="Calibri" w:cs="Times New Roman"/>
    </w:rPr>
  </w:style>
  <w:style w:type="table" w:styleId="TableGrid">
    <w:name w:val="Table Grid"/>
    <w:basedOn w:val="TableNormal"/>
    <w:uiPriority w:val="59"/>
    <w:rsid w:val="003A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802">
      <w:bodyDiv w:val="1"/>
      <w:marLeft w:val="0"/>
      <w:marRight w:val="0"/>
      <w:marTop w:val="0"/>
      <w:marBottom w:val="0"/>
      <w:divBdr>
        <w:top w:val="none" w:sz="0" w:space="0" w:color="auto"/>
        <w:left w:val="none" w:sz="0" w:space="0" w:color="auto"/>
        <w:bottom w:val="none" w:sz="0" w:space="0" w:color="auto"/>
        <w:right w:val="none" w:sz="0" w:space="0" w:color="auto"/>
      </w:divBdr>
    </w:div>
    <w:div w:id="454518439">
      <w:bodyDiv w:val="1"/>
      <w:marLeft w:val="0"/>
      <w:marRight w:val="0"/>
      <w:marTop w:val="0"/>
      <w:marBottom w:val="0"/>
      <w:divBdr>
        <w:top w:val="none" w:sz="0" w:space="0" w:color="auto"/>
        <w:left w:val="none" w:sz="0" w:space="0" w:color="auto"/>
        <w:bottom w:val="none" w:sz="0" w:space="0" w:color="auto"/>
        <w:right w:val="none" w:sz="0" w:space="0" w:color="auto"/>
      </w:divBdr>
    </w:div>
    <w:div w:id="466822595">
      <w:bodyDiv w:val="1"/>
      <w:marLeft w:val="0"/>
      <w:marRight w:val="0"/>
      <w:marTop w:val="0"/>
      <w:marBottom w:val="0"/>
      <w:divBdr>
        <w:top w:val="none" w:sz="0" w:space="0" w:color="auto"/>
        <w:left w:val="none" w:sz="0" w:space="0" w:color="auto"/>
        <w:bottom w:val="none" w:sz="0" w:space="0" w:color="auto"/>
        <w:right w:val="none" w:sz="0" w:space="0" w:color="auto"/>
      </w:divBdr>
    </w:div>
    <w:div w:id="518474700">
      <w:bodyDiv w:val="1"/>
      <w:marLeft w:val="0"/>
      <w:marRight w:val="0"/>
      <w:marTop w:val="0"/>
      <w:marBottom w:val="0"/>
      <w:divBdr>
        <w:top w:val="none" w:sz="0" w:space="0" w:color="auto"/>
        <w:left w:val="none" w:sz="0" w:space="0" w:color="auto"/>
        <w:bottom w:val="none" w:sz="0" w:space="0" w:color="auto"/>
        <w:right w:val="none" w:sz="0" w:space="0" w:color="auto"/>
      </w:divBdr>
    </w:div>
    <w:div w:id="556432978">
      <w:bodyDiv w:val="1"/>
      <w:marLeft w:val="0"/>
      <w:marRight w:val="0"/>
      <w:marTop w:val="0"/>
      <w:marBottom w:val="0"/>
      <w:divBdr>
        <w:top w:val="none" w:sz="0" w:space="0" w:color="auto"/>
        <w:left w:val="none" w:sz="0" w:space="0" w:color="auto"/>
        <w:bottom w:val="none" w:sz="0" w:space="0" w:color="auto"/>
        <w:right w:val="none" w:sz="0" w:space="0" w:color="auto"/>
      </w:divBdr>
    </w:div>
    <w:div w:id="588003923">
      <w:bodyDiv w:val="1"/>
      <w:marLeft w:val="0"/>
      <w:marRight w:val="0"/>
      <w:marTop w:val="0"/>
      <w:marBottom w:val="0"/>
      <w:divBdr>
        <w:top w:val="none" w:sz="0" w:space="0" w:color="auto"/>
        <w:left w:val="none" w:sz="0" w:space="0" w:color="auto"/>
        <w:bottom w:val="none" w:sz="0" w:space="0" w:color="auto"/>
        <w:right w:val="none" w:sz="0" w:space="0" w:color="auto"/>
      </w:divBdr>
    </w:div>
    <w:div w:id="594090385">
      <w:bodyDiv w:val="1"/>
      <w:marLeft w:val="0"/>
      <w:marRight w:val="0"/>
      <w:marTop w:val="0"/>
      <w:marBottom w:val="0"/>
      <w:divBdr>
        <w:top w:val="none" w:sz="0" w:space="0" w:color="auto"/>
        <w:left w:val="none" w:sz="0" w:space="0" w:color="auto"/>
        <w:bottom w:val="none" w:sz="0" w:space="0" w:color="auto"/>
        <w:right w:val="none" w:sz="0" w:space="0" w:color="auto"/>
      </w:divBdr>
    </w:div>
    <w:div w:id="621350425">
      <w:bodyDiv w:val="1"/>
      <w:marLeft w:val="0"/>
      <w:marRight w:val="0"/>
      <w:marTop w:val="0"/>
      <w:marBottom w:val="0"/>
      <w:divBdr>
        <w:top w:val="none" w:sz="0" w:space="0" w:color="auto"/>
        <w:left w:val="none" w:sz="0" w:space="0" w:color="auto"/>
        <w:bottom w:val="none" w:sz="0" w:space="0" w:color="auto"/>
        <w:right w:val="none" w:sz="0" w:space="0" w:color="auto"/>
      </w:divBdr>
    </w:div>
    <w:div w:id="642278430">
      <w:bodyDiv w:val="1"/>
      <w:marLeft w:val="0"/>
      <w:marRight w:val="0"/>
      <w:marTop w:val="0"/>
      <w:marBottom w:val="0"/>
      <w:divBdr>
        <w:top w:val="none" w:sz="0" w:space="0" w:color="auto"/>
        <w:left w:val="none" w:sz="0" w:space="0" w:color="auto"/>
        <w:bottom w:val="none" w:sz="0" w:space="0" w:color="auto"/>
        <w:right w:val="none" w:sz="0" w:space="0" w:color="auto"/>
      </w:divBdr>
    </w:div>
    <w:div w:id="645819500">
      <w:bodyDiv w:val="1"/>
      <w:marLeft w:val="0"/>
      <w:marRight w:val="0"/>
      <w:marTop w:val="0"/>
      <w:marBottom w:val="0"/>
      <w:divBdr>
        <w:top w:val="none" w:sz="0" w:space="0" w:color="auto"/>
        <w:left w:val="none" w:sz="0" w:space="0" w:color="auto"/>
        <w:bottom w:val="none" w:sz="0" w:space="0" w:color="auto"/>
        <w:right w:val="none" w:sz="0" w:space="0" w:color="auto"/>
      </w:divBdr>
    </w:div>
    <w:div w:id="849105492">
      <w:bodyDiv w:val="1"/>
      <w:marLeft w:val="0"/>
      <w:marRight w:val="0"/>
      <w:marTop w:val="0"/>
      <w:marBottom w:val="0"/>
      <w:divBdr>
        <w:top w:val="none" w:sz="0" w:space="0" w:color="auto"/>
        <w:left w:val="none" w:sz="0" w:space="0" w:color="auto"/>
        <w:bottom w:val="none" w:sz="0" w:space="0" w:color="auto"/>
        <w:right w:val="none" w:sz="0" w:space="0" w:color="auto"/>
      </w:divBdr>
    </w:div>
    <w:div w:id="967319077">
      <w:bodyDiv w:val="1"/>
      <w:marLeft w:val="0"/>
      <w:marRight w:val="0"/>
      <w:marTop w:val="0"/>
      <w:marBottom w:val="0"/>
      <w:divBdr>
        <w:top w:val="none" w:sz="0" w:space="0" w:color="auto"/>
        <w:left w:val="none" w:sz="0" w:space="0" w:color="auto"/>
        <w:bottom w:val="none" w:sz="0" w:space="0" w:color="auto"/>
        <w:right w:val="none" w:sz="0" w:space="0" w:color="auto"/>
      </w:divBdr>
    </w:div>
    <w:div w:id="974945009">
      <w:bodyDiv w:val="1"/>
      <w:marLeft w:val="0"/>
      <w:marRight w:val="0"/>
      <w:marTop w:val="0"/>
      <w:marBottom w:val="0"/>
      <w:divBdr>
        <w:top w:val="none" w:sz="0" w:space="0" w:color="auto"/>
        <w:left w:val="none" w:sz="0" w:space="0" w:color="auto"/>
        <w:bottom w:val="none" w:sz="0" w:space="0" w:color="auto"/>
        <w:right w:val="none" w:sz="0" w:space="0" w:color="auto"/>
      </w:divBdr>
    </w:div>
    <w:div w:id="989333011">
      <w:bodyDiv w:val="1"/>
      <w:marLeft w:val="0"/>
      <w:marRight w:val="0"/>
      <w:marTop w:val="0"/>
      <w:marBottom w:val="0"/>
      <w:divBdr>
        <w:top w:val="none" w:sz="0" w:space="0" w:color="auto"/>
        <w:left w:val="none" w:sz="0" w:space="0" w:color="auto"/>
        <w:bottom w:val="none" w:sz="0" w:space="0" w:color="auto"/>
        <w:right w:val="none" w:sz="0" w:space="0" w:color="auto"/>
      </w:divBdr>
    </w:div>
    <w:div w:id="1115561929">
      <w:bodyDiv w:val="1"/>
      <w:marLeft w:val="0"/>
      <w:marRight w:val="0"/>
      <w:marTop w:val="0"/>
      <w:marBottom w:val="0"/>
      <w:divBdr>
        <w:top w:val="none" w:sz="0" w:space="0" w:color="auto"/>
        <w:left w:val="none" w:sz="0" w:space="0" w:color="auto"/>
        <w:bottom w:val="none" w:sz="0" w:space="0" w:color="auto"/>
        <w:right w:val="none" w:sz="0" w:space="0" w:color="auto"/>
      </w:divBdr>
    </w:div>
    <w:div w:id="1174806501">
      <w:bodyDiv w:val="1"/>
      <w:marLeft w:val="0"/>
      <w:marRight w:val="0"/>
      <w:marTop w:val="0"/>
      <w:marBottom w:val="0"/>
      <w:divBdr>
        <w:top w:val="none" w:sz="0" w:space="0" w:color="auto"/>
        <w:left w:val="none" w:sz="0" w:space="0" w:color="auto"/>
        <w:bottom w:val="none" w:sz="0" w:space="0" w:color="auto"/>
        <w:right w:val="none" w:sz="0" w:space="0" w:color="auto"/>
      </w:divBdr>
    </w:div>
    <w:div w:id="1291285519">
      <w:bodyDiv w:val="1"/>
      <w:marLeft w:val="0"/>
      <w:marRight w:val="0"/>
      <w:marTop w:val="0"/>
      <w:marBottom w:val="0"/>
      <w:divBdr>
        <w:top w:val="none" w:sz="0" w:space="0" w:color="auto"/>
        <w:left w:val="none" w:sz="0" w:space="0" w:color="auto"/>
        <w:bottom w:val="none" w:sz="0" w:space="0" w:color="auto"/>
        <w:right w:val="none" w:sz="0" w:space="0" w:color="auto"/>
      </w:divBdr>
    </w:div>
    <w:div w:id="1326935813">
      <w:bodyDiv w:val="1"/>
      <w:marLeft w:val="0"/>
      <w:marRight w:val="0"/>
      <w:marTop w:val="0"/>
      <w:marBottom w:val="0"/>
      <w:divBdr>
        <w:top w:val="none" w:sz="0" w:space="0" w:color="auto"/>
        <w:left w:val="none" w:sz="0" w:space="0" w:color="auto"/>
        <w:bottom w:val="none" w:sz="0" w:space="0" w:color="auto"/>
        <w:right w:val="none" w:sz="0" w:space="0" w:color="auto"/>
      </w:divBdr>
    </w:div>
    <w:div w:id="1348557506">
      <w:bodyDiv w:val="1"/>
      <w:marLeft w:val="0"/>
      <w:marRight w:val="0"/>
      <w:marTop w:val="0"/>
      <w:marBottom w:val="0"/>
      <w:divBdr>
        <w:top w:val="none" w:sz="0" w:space="0" w:color="auto"/>
        <w:left w:val="none" w:sz="0" w:space="0" w:color="auto"/>
        <w:bottom w:val="none" w:sz="0" w:space="0" w:color="auto"/>
        <w:right w:val="none" w:sz="0" w:space="0" w:color="auto"/>
      </w:divBdr>
    </w:div>
    <w:div w:id="1462724079">
      <w:bodyDiv w:val="1"/>
      <w:marLeft w:val="0"/>
      <w:marRight w:val="0"/>
      <w:marTop w:val="0"/>
      <w:marBottom w:val="0"/>
      <w:divBdr>
        <w:top w:val="none" w:sz="0" w:space="0" w:color="auto"/>
        <w:left w:val="none" w:sz="0" w:space="0" w:color="auto"/>
        <w:bottom w:val="none" w:sz="0" w:space="0" w:color="auto"/>
        <w:right w:val="none" w:sz="0" w:space="0" w:color="auto"/>
      </w:divBdr>
    </w:div>
    <w:div w:id="1471365202">
      <w:bodyDiv w:val="1"/>
      <w:marLeft w:val="0"/>
      <w:marRight w:val="0"/>
      <w:marTop w:val="0"/>
      <w:marBottom w:val="0"/>
      <w:divBdr>
        <w:top w:val="none" w:sz="0" w:space="0" w:color="auto"/>
        <w:left w:val="none" w:sz="0" w:space="0" w:color="auto"/>
        <w:bottom w:val="none" w:sz="0" w:space="0" w:color="auto"/>
        <w:right w:val="none" w:sz="0" w:space="0" w:color="auto"/>
      </w:divBdr>
    </w:div>
    <w:div w:id="1551454214">
      <w:bodyDiv w:val="1"/>
      <w:marLeft w:val="0"/>
      <w:marRight w:val="0"/>
      <w:marTop w:val="0"/>
      <w:marBottom w:val="0"/>
      <w:divBdr>
        <w:top w:val="none" w:sz="0" w:space="0" w:color="auto"/>
        <w:left w:val="none" w:sz="0" w:space="0" w:color="auto"/>
        <w:bottom w:val="none" w:sz="0" w:space="0" w:color="auto"/>
        <w:right w:val="none" w:sz="0" w:space="0" w:color="auto"/>
      </w:divBdr>
    </w:div>
    <w:div w:id="1775662057">
      <w:bodyDiv w:val="1"/>
      <w:marLeft w:val="0"/>
      <w:marRight w:val="0"/>
      <w:marTop w:val="0"/>
      <w:marBottom w:val="0"/>
      <w:divBdr>
        <w:top w:val="none" w:sz="0" w:space="0" w:color="auto"/>
        <w:left w:val="none" w:sz="0" w:space="0" w:color="auto"/>
        <w:bottom w:val="none" w:sz="0" w:space="0" w:color="auto"/>
        <w:right w:val="none" w:sz="0" w:space="0" w:color="auto"/>
      </w:divBdr>
    </w:div>
    <w:div w:id="1835489030">
      <w:bodyDiv w:val="1"/>
      <w:marLeft w:val="0"/>
      <w:marRight w:val="0"/>
      <w:marTop w:val="0"/>
      <w:marBottom w:val="0"/>
      <w:divBdr>
        <w:top w:val="none" w:sz="0" w:space="0" w:color="auto"/>
        <w:left w:val="none" w:sz="0" w:space="0" w:color="auto"/>
        <w:bottom w:val="none" w:sz="0" w:space="0" w:color="auto"/>
        <w:right w:val="none" w:sz="0" w:space="0" w:color="auto"/>
      </w:divBdr>
    </w:div>
    <w:div w:id="1843811091">
      <w:bodyDiv w:val="1"/>
      <w:marLeft w:val="0"/>
      <w:marRight w:val="0"/>
      <w:marTop w:val="0"/>
      <w:marBottom w:val="0"/>
      <w:divBdr>
        <w:top w:val="none" w:sz="0" w:space="0" w:color="auto"/>
        <w:left w:val="none" w:sz="0" w:space="0" w:color="auto"/>
        <w:bottom w:val="none" w:sz="0" w:space="0" w:color="auto"/>
        <w:right w:val="none" w:sz="0" w:space="0" w:color="auto"/>
      </w:divBdr>
    </w:div>
    <w:div w:id="1878859445">
      <w:bodyDiv w:val="1"/>
      <w:marLeft w:val="0"/>
      <w:marRight w:val="0"/>
      <w:marTop w:val="0"/>
      <w:marBottom w:val="0"/>
      <w:divBdr>
        <w:top w:val="none" w:sz="0" w:space="0" w:color="auto"/>
        <w:left w:val="none" w:sz="0" w:space="0" w:color="auto"/>
        <w:bottom w:val="none" w:sz="0" w:space="0" w:color="auto"/>
        <w:right w:val="none" w:sz="0" w:space="0" w:color="auto"/>
      </w:divBdr>
    </w:div>
    <w:div w:id="1941788964">
      <w:bodyDiv w:val="1"/>
      <w:marLeft w:val="0"/>
      <w:marRight w:val="0"/>
      <w:marTop w:val="0"/>
      <w:marBottom w:val="0"/>
      <w:divBdr>
        <w:top w:val="none" w:sz="0" w:space="0" w:color="auto"/>
        <w:left w:val="none" w:sz="0" w:space="0" w:color="auto"/>
        <w:bottom w:val="none" w:sz="0" w:space="0" w:color="auto"/>
        <w:right w:val="none" w:sz="0" w:space="0" w:color="auto"/>
      </w:divBdr>
    </w:div>
    <w:div w:id="1956018010">
      <w:bodyDiv w:val="1"/>
      <w:marLeft w:val="0"/>
      <w:marRight w:val="0"/>
      <w:marTop w:val="0"/>
      <w:marBottom w:val="0"/>
      <w:divBdr>
        <w:top w:val="none" w:sz="0" w:space="0" w:color="auto"/>
        <w:left w:val="none" w:sz="0" w:space="0" w:color="auto"/>
        <w:bottom w:val="none" w:sz="0" w:space="0" w:color="auto"/>
        <w:right w:val="none" w:sz="0" w:space="0" w:color="auto"/>
      </w:divBdr>
    </w:div>
    <w:div w:id="2010476756">
      <w:bodyDiv w:val="1"/>
      <w:marLeft w:val="0"/>
      <w:marRight w:val="0"/>
      <w:marTop w:val="0"/>
      <w:marBottom w:val="0"/>
      <w:divBdr>
        <w:top w:val="none" w:sz="0" w:space="0" w:color="auto"/>
        <w:left w:val="none" w:sz="0" w:space="0" w:color="auto"/>
        <w:bottom w:val="none" w:sz="0" w:space="0" w:color="auto"/>
        <w:right w:val="none" w:sz="0" w:space="0" w:color="auto"/>
      </w:divBdr>
    </w:div>
    <w:div w:id="20688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AF7290358E4DA7AA11D479E999DC4E"/>
        <w:category>
          <w:name w:val="General"/>
          <w:gallery w:val="placeholder"/>
        </w:category>
        <w:types>
          <w:type w:val="bbPlcHdr"/>
        </w:types>
        <w:behaviors>
          <w:behavior w:val="content"/>
        </w:behaviors>
        <w:guid w:val="{BE159528-FDB3-49FA-AD97-2FBE758A1457}"/>
      </w:docPartPr>
      <w:docPartBody>
        <w:p w:rsidR="00A91F35" w:rsidRDefault="000E526B" w:rsidP="000E526B">
          <w:pPr>
            <w:pStyle w:val="BCAF7290358E4DA7AA11D479E999DC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6B"/>
    <w:rsid w:val="00012A74"/>
    <w:rsid w:val="00075AE0"/>
    <w:rsid w:val="000E526B"/>
    <w:rsid w:val="000F4534"/>
    <w:rsid w:val="00161B15"/>
    <w:rsid w:val="0022629F"/>
    <w:rsid w:val="003227BF"/>
    <w:rsid w:val="003620A8"/>
    <w:rsid w:val="00613560"/>
    <w:rsid w:val="00A91F35"/>
    <w:rsid w:val="00A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67A6F2FF84525B96D4A81E4EF809D">
    <w:name w:val="9E067A6F2FF84525B96D4A81E4EF809D"/>
    <w:rsid w:val="000E526B"/>
  </w:style>
  <w:style w:type="paragraph" w:customStyle="1" w:styleId="8DA0AD029D5E441F98C11541601B1D5F">
    <w:name w:val="8DA0AD029D5E441F98C11541601B1D5F"/>
    <w:rsid w:val="000E526B"/>
  </w:style>
  <w:style w:type="paragraph" w:customStyle="1" w:styleId="5FB20DB86ECF4ADEA57B5B9767682CBB">
    <w:name w:val="5FB20DB86ECF4ADEA57B5B9767682CBB"/>
    <w:rsid w:val="000E526B"/>
  </w:style>
  <w:style w:type="paragraph" w:customStyle="1" w:styleId="F563B3C435BF4D64B50624CB740881BC">
    <w:name w:val="F563B3C435BF4D64B50624CB740881BC"/>
    <w:rsid w:val="000E526B"/>
  </w:style>
  <w:style w:type="paragraph" w:customStyle="1" w:styleId="EA72B3BBFFF24A038DFAFF10F40D1188">
    <w:name w:val="EA72B3BBFFF24A038DFAFF10F40D1188"/>
    <w:rsid w:val="000E526B"/>
  </w:style>
  <w:style w:type="paragraph" w:customStyle="1" w:styleId="ED404F3E9F574486A131A61D1258E73D">
    <w:name w:val="ED404F3E9F574486A131A61D1258E73D"/>
    <w:rsid w:val="000E526B"/>
  </w:style>
  <w:style w:type="paragraph" w:customStyle="1" w:styleId="B1D2C961680B450A963C486BC5C76D55">
    <w:name w:val="B1D2C961680B450A963C486BC5C76D55"/>
    <w:rsid w:val="000E526B"/>
  </w:style>
  <w:style w:type="paragraph" w:customStyle="1" w:styleId="BCAF7290358E4DA7AA11D479E999DC4E">
    <w:name w:val="BCAF7290358E4DA7AA11D479E999DC4E"/>
    <w:rsid w:val="000E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Area Calculation Definitions for Space Management</vt:lpstr>
    </vt:vector>
  </TitlesOfParts>
  <Company>University of Tennessee</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Calculation Definitions for Space Management</dc:title>
  <dc:creator>Jonathan Ruth</dc:creator>
  <cp:lastModifiedBy>Ruth, Jonathan M</cp:lastModifiedBy>
  <cp:revision>29</cp:revision>
  <dcterms:created xsi:type="dcterms:W3CDTF">2013-03-05T21:50:00Z</dcterms:created>
  <dcterms:modified xsi:type="dcterms:W3CDTF">2013-07-16T19:54:00Z</dcterms:modified>
</cp:coreProperties>
</file>